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eastAsia="zh-CN"/>
        </w:rPr>
        <w:t>：</w:t>
      </w:r>
      <w:r>
        <w:rPr>
          <w:rFonts w:ascii="Times New Roman" w:hAnsi="Times New Roman" w:eastAsia="黑体" w:cs="Times New Roman"/>
          <w:kern w:val="0"/>
          <w:sz w:val="32"/>
          <w:szCs w:val="32"/>
        </w:rPr>
        <w:t xml:space="preserve"> </w:t>
      </w:r>
    </w:p>
    <w:p>
      <w:pPr>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u w:val="single"/>
          <w:lang w:eastAsia="zh-CN"/>
        </w:rPr>
        <w:t>环境科学与工程</w:t>
      </w:r>
      <w:r>
        <w:rPr>
          <w:rFonts w:ascii="Times New Roman" w:hAnsi="Times New Roman" w:eastAsia="方正小标宋简体" w:cs="Times New Roman"/>
          <w:kern w:val="0"/>
          <w:sz w:val="44"/>
          <w:szCs w:val="44"/>
        </w:rPr>
        <w:t>学院</w:t>
      </w:r>
      <w:r>
        <w:rPr>
          <w:rFonts w:hint="eastAsia" w:ascii="Times New Roman" w:hAnsi="Times New Roman" w:eastAsia="方正小标宋简体" w:cs="Times New Roman"/>
          <w:kern w:val="0"/>
          <w:sz w:val="44"/>
          <w:szCs w:val="44"/>
        </w:rPr>
        <w:t>2024年</w:t>
      </w:r>
      <w:r>
        <w:rPr>
          <w:rFonts w:ascii="Times New Roman" w:hAnsi="Times New Roman" w:eastAsia="方正小标宋简体" w:cs="Times New Roman"/>
          <w:kern w:val="0"/>
          <w:sz w:val="44"/>
          <w:szCs w:val="44"/>
        </w:rPr>
        <w:t>本科学生</w:t>
      </w:r>
    </w:p>
    <w:p>
      <w:pPr>
        <w:jc w:val="center"/>
        <w:rPr>
          <w:rFonts w:ascii="Times New Roman" w:hAnsi="Times New Roman" w:eastAsia="仿宋" w:cs="Times New Roman"/>
          <w:color w:val="FF0000"/>
          <w:kern w:val="0"/>
          <w:sz w:val="32"/>
          <w:szCs w:val="32"/>
        </w:rPr>
      </w:pPr>
      <w:r>
        <w:rPr>
          <w:rFonts w:ascii="Times New Roman" w:hAnsi="Times New Roman" w:eastAsia="方正小标宋简体" w:cs="Times New Roman"/>
          <w:kern w:val="0"/>
          <w:sz w:val="44"/>
          <w:szCs w:val="44"/>
        </w:rPr>
        <w:t>转专业细则</w:t>
      </w:r>
      <w:r>
        <w:rPr>
          <w:rFonts w:hint="eastAsia" w:ascii="Times New Roman" w:hAnsi="Times New Roman" w:eastAsia="方正小标宋简体" w:cs="Times New Roman"/>
          <w:kern w:val="0"/>
          <w:sz w:val="44"/>
          <w:szCs w:val="44"/>
        </w:rPr>
        <w:t>及接收计划</w:t>
      </w:r>
    </w:p>
    <w:p>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一、</w:t>
      </w:r>
      <w:r>
        <w:rPr>
          <w:rFonts w:ascii="黑体" w:hAnsi="黑体" w:eastAsia="黑体" w:cs="Times New Roman"/>
          <w:kern w:val="0"/>
          <w:sz w:val="32"/>
          <w:szCs w:val="32"/>
        </w:rPr>
        <w:t>转专业工作领导小组</w:t>
      </w:r>
    </w:p>
    <w:p>
      <w:pPr>
        <w:pStyle w:val="6"/>
      </w:pPr>
      <w:r>
        <w:rPr>
          <w:rFonts w:hint="eastAsia"/>
        </w:rPr>
        <w:t>环境科学与工程学院转专业工作领导小组为学院转专业工作的领导机构，全面负责本学院的转专业工作，由学院领导、系主任组成，具体如下：</w:t>
      </w:r>
    </w:p>
    <w:p>
      <w:pPr>
        <w:pStyle w:val="6"/>
      </w:pPr>
      <w:r>
        <w:rPr>
          <w:rFonts w:hint="eastAsia"/>
        </w:rPr>
        <w:t>组长：祝凌燕</w:t>
      </w:r>
    </w:p>
    <w:p>
      <w:pPr>
        <w:pStyle w:val="6"/>
      </w:pPr>
      <w:r>
        <w:rPr>
          <w:rFonts w:hint="eastAsia"/>
        </w:rPr>
        <w:t>副组长：王鑫</w:t>
      </w:r>
    </w:p>
    <w:p>
      <w:pPr>
        <w:pStyle w:val="6"/>
      </w:pPr>
      <w:r>
        <w:rPr>
          <w:rFonts w:hint="eastAsia"/>
        </w:rPr>
        <w:t>成员：冯银厂、汪磊、史国良、漆新华、李洪远、冯剑丰、鲁金凤、王军锋、刘春光</w:t>
      </w:r>
    </w:p>
    <w:p>
      <w:pPr>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二、转出条件</w:t>
      </w:r>
    </w:p>
    <w:p>
      <w:pPr>
        <w:numPr>
          <w:ilvl w:val="255"/>
          <w:numId w:val="0"/>
        </w:num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除《南开大学本科生转专业管理办法》规定的不允许转出的情形外，学院学生转出无其他限制。</w:t>
      </w:r>
    </w:p>
    <w:p>
      <w:pPr>
        <w:numPr>
          <w:ilvl w:val="0"/>
          <w:numId w:val="1"/>
        </w:numPr>
        <w:ind w:firstLine="640" w:firstLineChars="200"/>
        <w:rPr>
          <w:rFonts w:ascii="黑体" w:hAnsi="黑体" w:eastAsia="黑体" w:cs="Times New Roman"/>
          <w:kern w:val="0"/>
          <w:sz w:val="32"/>
          <w:szCs w:val="32"/>
        </w:rPr>
      </w:pPr>
      <w:r>
        <w:rPr>
          <w:rFonts w:ascii="黑体" w:hAnsi="黑体" w:eastAsia="黑体" w:cs="Times New Roman"/>
          <w:kern w:val="0"/>
          <w:sz w:val="32"/>
          <w:szCs w:val="32"/>
        </w:rPr>
        <w:t>转入基本申请条件</w:t>
      </w:r>
    </w:p>
    <w:p>
      <w:pPr>
        <w:pStyle w:val="6"/>
      </w:pPr>
      <w:r>
        <w:rPr>
          <w:rFonts w:hint="eastAsia"/>
        </w:rPr>
        <w:t>（</w:t>
      </w:r>
      <w:r>
        <w:rPr>
          <w:rFonts w:hint="eastAsia"/>
          <w:lang w:val="en-US" w:eastAsia="zh-CN"/>
        </w:rPr>
        <w:t>1</w:t>
      </w:r>
      <w:r>
        <w:rPr>
          <w:rFonts w:hint="eastAsia"/>
        </w:rPr>
        <w:t>）身心健康，无处分记录。</w:t>
      </w:r>
    </w:p>
    <w:p>
      <w:pPr>
        <w:pStyle w:val="6"/>
      </w:pPr>
      <w:r>
        <w:rPr>
          <w:rFonts w:hint="eastAsia"/>
        </w:rPr>
        <w:t>（</w:t>
      </w:r>
      <w:r>
        <w:rPr>
          <w:rFonts w:hint="eastAsia"/>
          <w:lang w:val="en-US" w:eastAsia="zh-CN"/>
        </w:rPr>
        <w:t>2</w:t>
      </w:r>
      <w:r>
        <w:rPr>
          <w:rFonts w:hint="eastAsia"/>
        </w:rPr>
        <w:t>）接收大学一年级、二年级学生转入。</w:t>
      </w:r>
    </w:p>
    <w:p>
      <w:pPr>
        <w:numPr>
          <w:ilvl w:val="0"/>
          <w:numId w:val="0"/>
        </w:numPr>
        <w:rPr>
          <w:rFonts w:ascii="黑体" w:hAnsi="黑体" w:eastAsia="黑体" w:cs="Times New Roman"/>
          <w:kern w:val="0"/>
          <w:sz w:val="32"/>
          <w:szCs w:val="32"/>
        </w:rPr>
      </w:pPr>
    </w:p>
    <w:p>
      <w:pPr>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四、选拔流程</w:t>
      </w:r>
    </w:p>
    <w:p>
      <w:pPr>
        <w:pStyle w:val="6"/>
      </w:pPr>
      <w:r>
        <w:rPr>
          <w:rFonts w:hint="eastAsia"/>
        </w:rPr>
        <w:t>（一）由学院转专业工作领导小组依据接收条件审核学生申请资格，并按审核情况及申请人数确定复试名单及分组；</w:t>
      </w:r>
    </w:p>
    <w:p>
      <w:pPr>
        <w:pStyle w:val="6"/>
      </w:pPr>
      <w:r>
        <w:rPr>
          <w:rFonts w:hint="eastAsia"/>
        </w:rPr>
        <w:t>（二）转专业工作领导小组以</w:t>
      </w:r>
      <w:r>
        <w:t>申请学生</w:t>
      </w:r>
      <w:r>
        <w:rPr>
          <w:rFonts w:hint="eastAsia"/>
        </w:rPr>
        <w:t>的</w:t>
      </w:r>
      <w:r>
        <w:t>综合成绩</w:t>
      </w:r>
      <w:r>
        <w:rPr>
          <w:rFonts w:hint="eastAsia"/>
        </w:rPr>
        <w:t>决定是否同意转入。综合成绩包括笔试和面试两部分，均为百分制。笔试为开卷考试，考核学生对环境相关知识的认识和了解，比重为60%；面试主要了解学生个人情况，考查学生是否适合转入我院，比重为40%。</w:t>
      </w:r>
    </w:p>
    <w:p>
      <w:pPr>
        <w:pStyle w:val="6"/>
      </w:pPr>
      <w:r>
        <w:rPr>
          <w:rFonts w:hint="eastAsia"/>
        </w:rPr>
        <w:t>（三）综合成绩达到60分以上的学生，按成绩排序，根据该年度转专业接收计划，确定接收学生。</w:t>
      </w:r>
    </w:p>
    <w:p>
      <w:pPr>
        <w:pStyle w:val="6"/>
        <w:rPr>
          <w:rFonts w:hint="eastAsia"/>
        </w:rPr>
      </w:pPr>
      <w:r>
        <w:rPr>
          <w:rFonts w:hint="eastAsia"/>
        </w:rPr>
        <w:t>（四）拟录取名单公示</w:t>
      </w:r>
    </w:p>
    <w:p>
      <w:pPr>
        <w:pStyle w:val="6"/>
        <w:rPr>
          <w:rFonts w:hint="eastAsia"/>
        </w:rPr>
      </w:pPr>
      <w:r>
        <w:rPr>
          <w:rFonts w:hint="eastAsia"/>
        </w:rPr>
        <w:t>拟录取名单于环境科学与工程学院网站</w:t>
      </w:r>
      <w:r>
        <w:rPr>
          <w:rFonts w:hint="eastAsia"/>
          <w:lang w:eastAsia="zh-CN"/>
        </w:rPr>
        <w:t>：</w:t>
      </w:r>
      <w:r>
        <w:rPr>
          <w:rFonts w:hint="eastAsia"/>
        </w:rPr>
        <w:t>（https://env.nankai.edu.cn/）进行公示，公示期为3天。公示期间如有异议，请与学院教学办公室联系（022-23508807）。</w:t>
      </w:r>
    </w:p>
    <w:p>
      <w:pPr>
        <w:pStyle w:val="6"/>
        <w:rPr>
          <w:rFonts w:hint="eastAsia"/>
        </w:rPr>
      </w:pPr>
    </w:p>
    <w:p>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五、接收计划</w:t>
      </w:r>
    </w:p>
    <w:tbl>
      <w:tblPr>
        <w:tblStyle w:val="4"/>
        <w:tblpPr w:leftFromText="180" w:rightFromText="180" w:vertAnchor="text" w:horzAnchor="page" w:tblpX="1394" w:tblpY="206"/>
        <w:tblOverlap w:val="never"/>
        <w:tblW w:w="995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53"/>
        <w:gridCol w:w="2360"/>
        <w:gridCol w:w="1981"/>
        <w:gridCol w:w="28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2753" w:type="dxa"/>
            <w:vAlign w:val="center"/>
          </w:tcPr>
          <w:p>
            <w:pPr>
              <w:jc w:val="center"/>
              <w:rPr>
                <w:rFonts w:ascii="仿宋" w:hAnsi="仿宋" w:eastAsia="仿宋" w:cs="Times New Roman"/>
                <w:b/>
                <w:sz w:val="28"/>
                <w:szCs w:val="32"/>
              </w:rPr>
            </w:pPr>
            <w:r>
              <w:rPr>
                <w:rFonts w:hint="eastAsia" w:ascii="仿宋" w:hAnsi="仿宋" w:eastAsia="仿宋" w:cs="Times New Roman"/>
                <w:b/>
                <w:sz w:val="28"/>
                <w:szCs w:val="32"/>
              </w:rPr>
              <w:t>接收专业（含大类）</w:t>
            </w:r>
          </w:p>
        </w:tc>
        <w:tc>
          <w:tcPr>
            <w:tcW w:w="2360" w:type="dxa"/>
            <w:vAlign w:val="center"/>
          </w:tcPr>
          <w:p>
            <w:pPr>
              <w:jc w:val="center"/>
              <w:rPr>
                <w:rFonts w:ascii="仿宋" w:hAnsi="仿宋" w:eastAsia="仿宋" w:cs="Times New Roman"/>
                <w:b/>
                <w:sz w:val="28"/>
                <w:szCs w:val="32"/>
              </w:rPr>
            </w:pPr>
            <w:r>
              <w:rPr>
                <w:rFonts w:hint="eastAsia" w:ascii="仿宋" w:hAnsi="仿宋" w:eastAsia="仿宋" w:cs="Times New Roman"/>
                <w:b/>
                <w:sz w:val="28"/>
                <w:szCs w:val="32"/>
              </w:rPr>
              <w:t>计划接收年级</w:t>
            </w:r>
          </w:p>
        </w:tc>
        <w:tc>
          <w:tcPr>
            <w:tcW w:w="1981" w:type="dxa"/>
            <w:vAlign w:val="center"/>
          </w:tcPr>
          <w:p>
            <w:pPr>
              <w:jc w:val="center"/>
              <w:rPr>
                <w:rFonts w:ascii="仿宋" w:hAnsi="仿宋" w:eastAsia="仿宋" w:cs="Times New Roman"/>
                <w:b/>
                <w:sz w:val="28"/>
                <w:szCs w:val="32"/>
              </w:rPr>
            </w:pPr>
            <w:r>
              <w:rPr>
                <w:rFonts w:hint="eastAsia" w:ascii="仿宋" w:hAnsi="仿宋" w:eastAsia="仿宋" w:cs="Times New Roman"/>
                <w:b/>
                <w:sz w:val="28"/>
                <w:szCs w:val="32"/>
              </w:rPr>
              <w:t>计划接收人数</w:t>
            </w:r>
          </w:p>
        </w:tc>
        <w:tc>
          <w:tcPr>
            <w:tcW w:w="2859" w:type="dxa"/>
            <w:vAlign w:val="center"/>
          </w:tcPr>
          <w:p>
            <w:pPr>
              <w:jc w:val="center"/>
              <w:rPr>
                <w:rFonts w:ascii="仿宋" w:hAnsi="仿宋" w:eastAsia="仿宋" w:cs="Times New Roman"/>
                <w:b/>
                <w:sz w:val="28"/>
                <w:szCs w:val="32"/>
              </w:rPr>
            </w:pPr>
            <w:r>
              <w:rPr>
                <w:rFonts w:hint="eastAsia" w:ascii="仿宋" w:hAnsi="仿宋" w:eastAsia="仿宋" w:cs="Times New Roman"/>
                <w:b/>
                <w:sz w:val="28"/>
                <w:szCs w:val="3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2753" w:type="dxa"/>
            <w:vAlign w:val="center"/>
          </w:tcPr>
          <w:p>
            <w:pPr>
              <w:jc w:val="center"/>
              <w:rPr>
                <w:rFonts w:ascii="仿宋" w:hAnsi="仿宋" w:eastAsia="仿宋" w:cs="Times New Roman"/>
                <w:sz w:val="28"/>
                <w:szCs w:val="32"/>
              </w:rPr>
            </w:pPr>
            <w:r>
              <w:rPr>
                <w:rFonts w:hint="eastAsia" w:ascii="仿宋" w:hAnsi="仿宋" w:eastAsia="仿宋" w:cs="Times New Roman"/>
                <w:sz w:val="28"/>
                <w:szCs w:val="32"/>
              </w:rPr>
              <w:t>环境科学</w:t>
            </w:r>
          </w:p>
        </w:tc>
        <w:tc>
          <w:tcPr>
            <w:tcW w:w="2360" w:type="dxa"/>
            <w:vAlign w:val="center"/>
          </w:tcPr>
          <w:p>
            <w:pPr>
              <w:jc w:val="center"/>
              <w:rPr>
                <w:rFonts w:ascii="仿宋" w:hAnsi="仿宋" w:eastAsia="仿宋" w:cs="Times New Roman"/>
                <w:sz w:val="28"/>
                <w:szCs w:val="32"/>
              </w:rPr>
            </w:pPr>
            <w:r>
              <w:rPr>
                <w:rFonts w:ascii="仿宋" w:hAnsi="仿宋" w:eastAsia="仿宋" w:cs="Times New Roman"/>
                <w:sz w:val="28"/>
                <w:szCs w:val="32"/>
              </w:rPr>
              <w:t>202</w:t>
            </w:r>
            <w:r>
              <w:rPr>
                <w:rFonts w:hint="eastAsia" w:ascii="仿宋" w:hAnsi="仿宋" w:eastAsia="仿宋" w:cs="Times New Roman"/>
                <w:sz w:val="28"/>
                <w:szCs w:val="32"/>
                <w:lang w:val="en-US" w:eastAsia="zh-CN"/>
              </w:rPr>
              <w:t>3</w:t>
            </w:r>
            <w:r>
              <w:rPr>
                <w:rFonts w:hint="eastAsia" w:ascii="仿宋" w:hAnsi="仿宋" w:eastAsia="仿宋" w:cs="Times New Roman"/>
                <w:sz w:val="28"/>
                <w:szCs w:val="32"/>
              </w:rPr>
              <w:t>级/</w:t>
            </w:r>
            <w:r>
              <w:rPr>
                <w:rFonts w:ascii="仿宋" w:hAnsi="仿宋" w:eastAsia="仿宋" w:cs="Times New Roman"/>
                <w:sz w:val="28"/>
                <w:szCs w:val="32"/>
              </w:rPr>
              <w:t>202</w:t>
            </w:r>
            <w:r>
              <w:rPr>
                <w:rFonts w:hint="eastAsia" w:ascii="仿宋" w:hAnsi="仿宋" w:eastAsia="仿宋" w:cs="Times New Roman"/>
                <w:sz w:val="28"/>
                <w:szCs w:val="32"/>
                <w:lang w:val="en-US" w:eastAsia="zh-CN"/>
              </w:rPr>
              <w:t>2</w:t>
            </w:r>
            <w:r>
              <w:rPr>
                <w:rFonts w:hint="eastAsia" w:ascii="仿宋" w:hAnsi="仿宋" w:eastAsia="仿宋" w:cs="Times New Roman"/>
                <w:sz w:val="28"/>
                <w:szCs w:val="32"/>
              </w:rPr>
              <w:t>级</w:t>
            </w:r>
          </w:p>
        </w:tc>
        <w:tc>
          <w:tcPr>
            <w:tcW w:w="1981" w:type="dxa"/>
            <w:vAlign w:val="center"/>
          </w:tcPr>
          <w:p>
            <w:pPr>
              <w:jc w:val="center"/>
              <w:rPr>
                <w:rFonts w:ascii="仿宋" w:hAnsi="仿宋" w:eastAsia="仿宋" w:cs="Times New Roman"/>
                <w:sz w:val="28"/>
                <w:szCs w:val="32"/>
              </w:rPr>
            </w:pPr>
            <w:r>
              <w:rPr>
                <w:rFonts w:hint="eastAsia" w:ascii="仿宋" w:hAnsi="仿宋" w:eastAsia="仿宋" w:cs="Times New Roman"/>
                <w:sz w:val="28"/>
                <w:szCs w:val="32"/>
              </w:rPr>
              <w:t>10人</w:t>
            </w:r>
          </w:p>
        </w:tc>
        <w:tc>
          <w:tcPr>
            <w:tcW w:w="2859" w:type="dxa"/>
            <w:vAlign w:val="center"/>
          </w:tcPr>
          <w:p>
            <w:pPr>
              <w:jc w:val="center"/>
              <w:rPr>
                <w:rFonts w:ascii="仿宋" w:hAnsi="仿宋" w:eastAsia="仿宋" w:cs="Times New Roman"/>
                <w:sz w:val="28"/>
                <w:szCs w:val="32"/>
              </w:rPr>
            </w:pPr>
            <w:r>
              <w:rPr>
                <w:rFonts w:hint="eastAsia" w:ascii="仿宋" w:hAnsi="仿宋" w:eastAsia="仿宋" w:cs="Times New Roman"/>
                <w:sz w:val="28"/>
                <w:szCs w:val="32"/>
              </w:rPr>
              <w:t>两个年级共接收1</w:t>
            </w:r>
            <w:r>
              <w:rPr>
                <w:rFonts w:ascii="仿宋" w:hAnsi="仿宋" w:eastAsia="仿宋" w:cs="Times New Roman"/>
                <w:sz w:val="28"/>
                <w:szCs w:val="32"/>
              </w:rPr>
              <w:t>0</w:t>
            </w:r>
            <w:r>
              <w:rPr>
                <w:rFonts w:hint="eastAsia" w:ascii="仿宋" w:hAnsi="仿宋" w:eastAsia="仿宋" w:cs="Times New Roman"/>
                <w:sz w:val="28"/>
                <w:szCs w:val="32"/>
              </w:rPr>
              <w:t>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2753" w:type="dxa"/>
            <w:vAlign w:val="center"/>
          </w:tcPr>
          <w:p>
            <w:pPr>
              <w:jc w:val="center"/>
              <w:rPr>
                <w:rFonts w:ascii="仿宋" w:hAnsi="仿宋" w:eastAsia="仿宋" w:cs="Times New Roman"/>
                <w:sz w:val="28"/>
                <w:szCs w:val="32"/>
              </w:rPr>
            </w:pPr>
            <w:r>
              <w:rPr>
                <w:rFonts w:hint="eastAsia" w:ascii="仿宋" w:hAnsi="仿宋" w:eastAsia="仿宋" w:cs="Times New Roman"/>
                <w:sz w:val="28"/>
                <w:szCs w:val="32"/>
              </w:rPr>
              <w:t>环境工程</w:t>
            </w:r>
          </w:p>
        </w:tc>
        <w:tc>
          <w:tcPr>
            <w:tcW w:w="2360" w:type="dxa"/>
          </w:tcPr>
          <w:p>
            <w:pPr>
              <w:jc w:val="center"/>
              <w:rPr>
                <w:rFonts w:ascii="仿宋" w:hAnsi="仿宋" w:eastAsia="仿宋" w:cs="Times New Roman"/>
                <w:sz w:val="28"/>
                <w:szCs w:val="32"/>
              </w:rPr>
            </w:pPr>
            <w:r>
              <w:rPr>
                <w:rFonts w:ascii="仿宋" w:hAnsi="仿宋" w:eastAsia="仿宋" w:cs="Times New Roman"/>
                <w:sz w:val="28"/>
                <w:szCs w:val="32"/>
              </w:rPr>
              <w:t>202</w:t>
            </w:r>
            <w:r>
              <w:rPr>
                <w:rFonts w:hint="eastAsia" w:ascii="仿宋" w:hAnsi="仿宋" w:eastAsia="仿宋" w:cs="Times New Roman"/>
                <w:sz w:val="28"/>
                <w:szCs w:val="32"/>
                <w:lang w:val="en-US" w:eastAsia="zh-CN"/>
              </w:rPr>
              <w:t>3</w:t>
            </w:r>
            <w:r>
              <w:rPr>
                <w:rFonts w:hint="eastAsia" w:ascii="仿宋" w:hAnsi="仿宋" w:eastAsia="仿宋" w:cs="Times New Roman"/>
                <w:sz w:val="28"/>
                <w:szCs w:val="32"/>
              </w:rPr>
              <w:t>级/</w:t>
            </w:r>
            <w:r>
              <w:rPr>
                <w:rFonts w:ascii="仿宋" w:hAnsi="仿宋" w:eastAsia="仿宋" w:cs="Times New Roman"/>
                <w:sz w:val="28"/>
                <w:szCs w:val="32"/>
              </w:rPr>
              <w:t>202</w:t>
            </w:r>
            <w:r>
              <w:rPr>
                <w:rFonts w:hint="eastAsia" w:ascii="仿宋" w:hAnsi="仿宋" w:eastAsia="仿宋" w:cs="Times New Roman"/>
                <w:sz w:val="28"/>
                <w:szCs w:val="32"/>
                <w:lang w:val="en-US" w:eastAsia="zh-CN"/>
              </w:rPr>
              <w:t>2</w:t>
            </w:r>
            <w:r>
              <w:rPr>
                <w:rFonts w:hint="eastAsia" w:ascii="仿宋" w:hAnsi="仿宋" w:eastAsia="仿宋" w:cs="Times New Roman"/>
                <w:sz w:val="28"/>
                <w:szCs w:val="32"/>
              </w:rPr>
              <w:t>级</w:t>
            </w:r>
          </w:p>
        </w:tc>
        <w:tc>
          <w:tcPr>
            <w:tcW w:w="1981" w:type="dxa"/>
            <w:vAlign w:val="center"/>
          </w:tcPr>
          <w:p>
            <w:pPr>
              <w:jc w:val="center"/>
              <w:rPr>
                <w:rFonts w:ascii="仿宋" w:hAnsi="仿宋" w:eastAsia="仿宋" w:cs="Times New Roman"/>
                <w:sz w:val="28"/>
                <w:szCs w:val="32"/>
              </w:rPr>
            </w:pPr>
            <w:r>
              <w:rPr>
                <w:rFonts w:hint="eastAsia" w:ascii="仿宋" w:hAnsi="仿宋" w:eastAsia="仿宋" w:cs="Times New Roman"/>
                <w:sz w:val="28"/>
                <w:szCs w:val="32"/>
              </w:rPr>
              <w:t>10人</w:t>
            </w:r>
          </w:p>
        </w:tc>
        <w:tc>
          <w:tcPr>
            <w:tcW w:w="2859" w:type="dxa"/>
          </w:tcPr>
          <w:p>
            <w:pPr>
              <w:jc w:val="center"/>
              <w:rPr>
                <w:rFonts w:ascii="仿宋" w:hAnsi="仿宋" w:eastAsia="仿宋" w:cs="Times New Roman"/>
                <w:sz w:val="28"/>
                <w:szCs w:val="32"/>
              </w:rPr>
            </w:pPr>
            <w:r>
              <w:rPr>
                <w:rFonts w:hint="eastAsia" w:ascii="仿宋" w:hAnsi="仿宋" w:eastAsia="仿宋" w:cs="Times New Roman"/>
                <w:sz w:val="28"/>
                <w:szCs w:val="32"/>
              </w:rPr>
              <w:t>两个年级共接收1</w:t>
            </w:r>
            <w:r>
              <w:rPr>
                <w:rFonts w:ascii="仿宋" w:hAnsi="仿宋" w:eastAsia="仿宋" w:cs="Times New Roman"/>
                <w:sz w:val="28"/>
                <w:szCs w:val="32"/>
              </w:rPr>
              <w:t>0</w:t>
            </w:r>
            <w:r>
              <w:rPr>
                <w:rFonts w:hint="eastAsia" w:ascii="仿宋" w:hAnsi="仿宋" w:eastAsia="仿宋" w:cs="Times New Roman"/>
                <w:sz w:val="28"/>
                <w:szCs w:val="32"/>
              </w:rPr>
              <w:t>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2753" w:type="dxa"/>
            <w:vAlign w:val="center"/>
          </w:tcPr>
          <w:p>
            <w:pPr>
              <w:jc w:val="center"/>
              <w:rPr>
                <w:rFonts w:ascii="仿宋" w:hAnsi="仿宋" w:eastAsia="仿宋" w:cs="Times New Roman"/>
                <w:sz w:val="28"/>
                <w:szCs w:val="32"/>
              </w:rPr>
            </w:pPr>
            <w:r>
              <w:rPr>
                <w:rFonts w:hint="eastAsia" w:ascii="仿宋" w:hAnsi="仿宋" w:eastAsia="仿宋" w:cs="Times New Roman"/>
                <w:sz w:val="28"/>
                <w:szCs w:val="32"/>
              </w:rPr>
              <w:t>资源循环科学与工程</w:t>
            </w:r>
          </w:p>
        </w:tc>
        <w:tc>
          <w:tcPr>
            <w:tcW w:w="2360" w:type="dxa"/>
          </w:tcPr>
          <w:p>
            <w:pPr>
              <w:jc w:val="center"/>
              <w:rPr>
                <w:rFonts w:ascii="仿宋" w:hAnsi="仿宋" w:eastAsia="仿宋" w:cs="Times New Roman"/>
                <w:sz w:val="28"/>
                <w:szCs w:val="32"/>
              </w:rPr>
            </w:pPr>
            <w:r>
              <w:rPr>
                <w:rFonts w:ascii="仿宋" w:hAnsi="仿宋" w:eastAsia="仿宋" w:cs="Times New Roman"/>
                <w:sz w:val="28"/>
                <w:szCs w:val="32"/>
              </w:rPr>
              <w:t>202</w:t>
            </w:r>
            <w:r>
              <w:rPr>
                <w:rFonts w:hint="eastAsia" w:ascii="仿宋" w:hAnsi="仿宋" w:eastAsia="仿宋" w:cs="Times New Roman"/>
                <w:sz w:val="28"/>
                <w:szCs w:val="32"/>
                <w:lang w:val="en-US" w:eastAsia="zh-CN"/>
              </w:rPr>
              <w:t>3</w:t>
            </w:r>
            <w:r>
              <w:rPr>
                <w:rFonts w:hint="eastAsia" w:ascii="仿宋" w:hAnsi="仿宋" w:eastAsia="仿宋" w:cs="Times New Roman"/>
                <w:sz w:val="28"/>
                <w:szCs w:val="32"/>
              </w:rPr>
              <w:t>级/</w:t>
            </w:r>
            <w:r>
              <w:rPr>
                <w:rFonts w:ascii="仿宋" w:hAnsi="仿宋" w:eastAsia="仿宋" w:cs="Times New Roman"/>
                <w:sz w:val="28"/>
                <w:szCs w:val="32"/>
              </w:rPr>
              <w:t>202</w:t>
            </w:r>
            <w:r>
              <w:rPr>
                <w:rFonts w:hint="eastAsia" w:ascii="仿宋" w:hAnsi="仿宋" w:eastAsia="仿宋" w:cs="Times New Roman"/>
                <w:sz w:val="28"/>
                <w:szCs w:val="32"/>
                <w:lang w:val="en-US" w:eastAsia="zh-CN"/>
              </w:rPr>
              <w:t>2</w:t>
            </w:r>
            <w:r>
              <w:rPr>
                <w:rFonts w:hint="eastAsia" w:ascii="仿宋" w:hAnsi="仿宋" w:eastAsia="仿宋" w:cs="Times New Roman"/>
                <w:sz w:val="28"/>
                <w:szCs w:val="32"/>
              </w:rPr>
              <w:t>级</w:t>
            </w:r>
          </w:p>
        </w:tc>
        <w:tc>
          <w:tcPr>
            <w:tcW w:w="1981" w:type="dxa"/>
            <w:vAlign w:val="center"/>
          </w:tcPr>
          <w:p>
            <w:pPr>
              <w:jc w:val="center"/>
              <w:rPr>
                <w:rFonts w:ascii="仿宋" w:hAnsi="仿宋" w:eastAsia="仿宋" w:cs="Times New Roman"/>
                <w:sz w:val="28"/>
                <w:szCs w:val="32"/>
              </w:rPr>
            </w:pPr>
            <w:r>
              <w:rPr>
                <w:rFonts w:hint="eastAsia" w:ascii="仿宋" w:hAnsi="仿宋" w:eastAsia="仿宋" w:cs="Times New Roman"/>
                <w:sz w:val="28"/>
                <w:szCs w:val="32"/>
              </w:rPr>
              <w:t>10人</w:t>
            </w:r>
          </w:p>
        </w:tc>
        <w:tc>
          <w:tcPr>
            <w:tcW w:w="2859" w:type="dxa"/>
          </w:tcPr>
          <w:p>
            <w:pPr>
              <w:jc w:val="center"/>
              <w:rPr>
                <w:rFonts w:ascii="仿宋" w:hAnsi="仿宋" w:eastAsia="仿宋" w:cs="Times New Roman"/>
                <w:sz w:val="28"/>
                <w:szCs w:val="32"/>
              </w:rPr>
            </w:pPr>
            <w:r>
              <w:rPr>
                <w:rFonts w:hint="eastAsia" w:ascii="仿宋" w:hAnsi="仿宋" w:eastAsia="仿宋" w:cs="Times New Roman"/>
                <w:sz w:val="28"/>
                <w:szCs w:val="32"/>
              </w:rPr>
              <w:t>两个年级共接收1</w:t>
            </w:r>
            <w:r>
              <w:rPr>
                <w:rFonts w:ascii="仿宋" w:hAnsi="仿宋" w:eastAsia="仿宋" w:cs="Times New Roman"/>
                <w:sz w:val="28"/>
                <w:szCs w:val="32"/>
              </w:rPr>
              <w:t>0</w:t>
            </w:r>
            <w:r>
              <w:rPr>
                <w:rFonts w:hint="eastAsia" w:ascii="仿宋" w:hAnsi="仿宋" w:eastAsia="仿宋" w:cs="Times New Roman"/>
                <w:sz w:val="28"/>
                <w:szCs w:val="32"/>
              </w:rPr>
              <w:t>人</w:t>
            </w:r>
          </w:p>
        </w:tc>
      </w:tr>
    </w:tbl>
    <w:p>
      <w:pPr>
        <w:ind w:firstLine="640" w:firstLineChars="200"/>
        <w:rPr>
          <w:rFonts w:hint="eastAsia" w:ascii="黑体" w:hAnsi="黑体" w:eastAsia="黑体" w:cs="Times New Roman"/>
          <w:kern w:val="0"/>
          <w:sz w:val="32"/>
          <w:szCs w:val="32"/>
        </w:rPr>
      </w:pPr>
    </w:p>
    <w:p>
      <w:pPr>
        <w:numPr>
          <w:ilvl w:val="0"/>
          <w:numId w:val="2"/>
        </w:numPr>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争议情况处理及解释权归属</w:t>
      </w:r>
    </w:p>
    <w:p>
      <w:pPr>
        <w:pStyle w:val="6"/>
      </w:pPr>
      <w:r>
        <w:rPr>
          <w:rFonts w:hint="eastAsia"/>
        </w:rPr>
        <w:t>争议情况处理及本细则解释权归环境科学与工程学院转专业工作领导小组。</w:t>
      </w:r>
    </w:p>
    <w:p>
      <w:pPr>
        <w:pStyle w:val="6"/>
        <w:jc w:val="right"/>
        <w:rPr>
          <w:rFonts w:hint="eastAsia"/>
        </w:rPr>
      </w:pPr>
      <w:r>
        <w:rPr>
          <w:rFonts w:hint="eastAsia"/>
        </w:rPr>
        <w:t xml:space="preserve">                               </w:t>
      </w:r>
    </w:p>
    <w:p>
      <w:pPr>
        <w:pStyle w:val="6"/>
        <w:jc w:val="right"/>
      </w:pPr>
      <w:bookmarkStart w:id="0" w:name="_GoBack"/>
      <w:bookmarkEnd w:id="0"/>
      <w:r>
        <w:rPr>
          <w:rFonts w:hint="eastAsia"/>
        </w:rPr>
        <w:t xml:space="preserve"> 环境科学与工程学院</w:t>
      </w:r>
    </w:p>
    <w:p>
      <w:pPr>
        <w:pStyle w:val="6"/>
      </w:pPr>
      <w:r>
        <w:rPr>
          <w:rFonts w:hint="eastAsia"/>
        </w:rPr>
        <w:t xml:space="preserve">                                 </w:t>
      </w:r>
      <w:r>
        <w:rPr>
          <w:rFonts w:hint="eastAsia"/>
          <w:color w:val="FF0000"/>
        </w:rPr>
        <w:t xml:space="preserve"> </w:t>
      </w:r>
      <w:r>
        <w:t>2023</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w:t>
      </w:r>
    </w:p>
    <w:p>
      <w:pPr>
        <w:numPr>
          <w:ilvl w:val="0"/>
          <w:numId w:val="0"/>
        </w:numPr>
        <w:rPr>
          <w:rFonts w:hint="default" w:ascii="黑体" w:hAnsi="黑体" w:eastAsia="黑体" w:cs="Times New Roman"/>
          <w:kern w:val="0"/>
          <w:sz w:val="32"/>
          <w:szCs w:val="32"/>
          <w:lang w:val="en-US" w:eastAsia="zh-CN"/>
        </w:rPr>
      </w:pPr>
    </w:p>
    <w:p>
      <w:pPr>
        <w:numPr>
          <w:ilvl w:val="255"/>
          <w:numId w:val="0"/>
        </w:numPr>
        <w:ind w:firstLine="643" w:firstLineChars="200"/>
        <w:rPr>
          <w:rFonts w:ascii="Times New Roman" w:hAnsi="Times New Roman" w:eastAsia="黑体" w:cs="Times New Roman"/>
          <w:b/>
          <w:sz w:val="32"/>
          <w:szCs w:val="32"/>
        </w:rPr>
      </w:pPr>
    </w:p>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BD5A9"/>
    <w:multiLevelType w:val="singleLevel"/>
    <w:tmpl w:val="9F1BD5A9"/>
    <w:lvl w:ilvl="0" w:tentative="0">
      <w:start w:val="3"/>
      <w:numFmt w:val="chineseCounting"/>
      <w:suff w:val="nothing"/>
      <w:lvlText w:val="%1、"/>
      <w:lvlJc w:val="left"/>
      <w:rPr>
        <w:rFonts w:hint="eastAsia"/>
      </w:rPr>
    </w:lvl>
  </w:abstractNum>
  <w:abstractNum w:abstractNumId="1">
    <w:nsid w:val="2E8C7C09"/>
    <w:multiLevelType w:val="singleLevel"/>
    <w:tmpl w:val="2E8C7C09"/>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NDRiNjA2MzA4MzZiMWE4MzJkMDIxNGMzNGRmNmEifQ=="/>
  </w:docVars>
  <w:rsids>
    <w:rsidRoot w:val="00000000"/>
    <w:rsid w:val="79665EC9"/>
    <w:rsid w:val="7D9C6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6">
    <w:name w:val="细则正文"/>
    <w:basedOn w:val="1"/>
    <w:autoRedefine/>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2023-12-20T01:29:00Z</dcterms:created>
  <dc:creator>lenovo</dc:creator>
  <cp:lastModifiedBy>WPS_1665392662</cp:lastModifiedBy>
  <dcterms:modified xsi:type="dcterms:W3CDTF">2023-12-20T01:48:01Z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8F4FAE52585F4B48A4B9A30B14FC162C_12</vt:lpwstr>
  </property>
</Properties>
</file>