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C655">
      <w:pPr>
        <w:keepNext w:val="0"/>
        <w:keepLines w:val="0"/>
        <w:pageBreakBefore w:val="0"/>
        <w:wordWrap/>
        <w:overflowPunct/>
        <w:topLinePunct w:val="0"/>
        <w:bidi w:val="0"/>
        <w:spacing w:line="247" w:lineRule="auto"/>
        <w:jc w:val="both"/>
        <w:rPr>
          <w:rFonts w:ascii="Times New Roman" w:hAnsi="Times New Roman"/>
          <w:sz w:val="21"/>
        </w:rPr>
      </w:pPr>
    </w:p>
    <w:p w14:paraId="0715C7C0">
      <w:pPr>
        <w:keepNext w:val="0"/>
        <w:keepLines w:val="0"/>
        <w:pageBreakBefore w:val="0"/>
        <w:tabs>
          <w:tab w:val="left" w:pos="2026"/>
        </w:tabs>
        <w:wordWrap/>
        <w:overflowPunct/>
        <w:topLinePunct w:val="0"/>
        <w:bidi w:val="0"/>
        <w:spacing w:before="140" w:line="281" w:lineRule="auto"/>
        <w:ind w:left="45"/>
        <w:jc w:val="center"/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3"/>
          <w:szCs w:val="43"/>
          <w:u w:val="none" w:color="auto"/>
          <w:lang w:val="en-US" w:eastAsia="zh-CN"/>
        </w:rPr>
        <w:t>密码与网络空间安全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  <w:t>学院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-85"/>
          <w:sz w:val="43"/>
          <w:szCs w:val="43"/>
        </w:rPr>
        <w:t xml:space="preserve"> 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  <w:t>2025年</w:t>
      </w:r>
    </w:p>
    <w:p w14:paraId="6BBB740B">
      <w:pPr>
        <w:keepNext w:val="0"/>
        <w:keepLines w:val="0"/>
        <w:pageBreakBefore w:val="0"/>
        <w:tabs>
          <w:tab w:val="left" w:pos="2026"/>
        </w:tabs>
        <w:wordWrap/>
        <w:overflowPunct/>
        <w:topLinePunct w:val="0"/>
        <w:bidi w:val="0"/>
        <w:spacing w:before="140" w:line="281" w:lineRule="auto"/>
        <w:ind w:left="45"/>
        <w:jc w:val="center"/>
        <w:rPr>
          <w:rFonts w:ascii="Times New Roman" w:hAnsi="Times New Roman"/>
          <w:sz w:val="21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  <w:t>本科学生转专业细则及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3"/>
          <w:sz w:val="43"/>
          <w:szCs w:val="43"/>
        </w:rPr>
        <w:t>接收计划</w:t>
      </w:r>
    </w:p>
    <w:p w14:paraId="50168544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Times New Roman" w:hAnsi="Times New Roman"/>
          <w:sz w:val="21"/>
        </w:rPr>
      </w:pPr>
      <w:r>
        <w:rPr>
          <w:rFonts w:hint="eastAsia" w:ascii="Times New Roman" w:hAnsi="Times New Roman"/>
        </w:rPr>
        <w:t>为深化本科教育教学改革，落实“以学生为中心”的教育理念，</w:t>
      </w:r>
      <w:r>
        <w:rPr>
          <w:rFonts w:hint="eastAsia" w:ascii="Times New Roman" w:hAnsi="Times New Roman"/>
          <w:lang w:val="en-US" w:eastAsia="zh-CN"/>
        </w:rPr>
        <w:t>确保</w:t>
      </w:r>
      <w:r>
        <w:rPr>
          <w:rFonts w:hint="eastAsia" w:ascii="Times New Roman" w:hAnsi="Times New Roman"/>
        </w:rPr>
        <w:t>转专业工作平稳进行，</w:t>
      </w:r>
      <w:r>
        <w:rPr>
          <w:rFonts w:hint="eastAsia" w:ascii="Times New Roman" w:hAnsi="Times New Roman"/>
          <w:lang w:val="en-US" w:eastAsia="zh-CN"/>
        </w:rPr>
        <w:t>保障学生转入后的教学秩序、教学质量及学习效果，</w:t>
      </w:r>
      <w:r>
        <w:rPr>
          <w:rFonts w:hint="eastAsia" w:ascii="Times New Roman" w:hAnsi="Times New Roman"/>
        </w:rPr>
        <w:t>现根据《南开大学本科学生学则》</w:t>
      </w:r>
      <w:r>
        <w:rPr>
          <w:rFonts w:hint="eastAsia" w:ascii="Times New Roman" w:hAnsi="Times New Roman"/>
          <w:lang w:eastAsia="zh-CN"/>
        </w:rPr>
        <w:t>、</w:t>
      </w:r>
      <w:r>
        <w:rPr>
          <w:rFonts w:hint="eastAsia" w:ascii="Times New Roman" w:hAnsi="Times New Roman"/>
        </w:rPr>
        <w:t>《南开大学本科生转专业管理办法》</w:t>
      </w:r>
      <w:r>
        <w:rPr>
          <w:rFonts w:hint="eastAsia" w:ascii="Times New Roman" w:hAnsi="Times New Roman"/>
          <w:lang w:val="en-US" w:eastAsia="zh-CN"/>
        </w:rPr>
        <w:t>文件要求</w:t>
      </w:r>
      <w:r>
        <w:rPr>
          <w:rFonts w:hint="eastAsia" w:ascii="Times New Roman" w:hAnsi="Times New Roman"/>
        </w:rPr>
        <w:t>，制定</w:t>
      </w:r>
      <w:r>
        <w:rPr>
          <w:rFonts w:hint="eastAsia" w:ascii="Times New Roman" w:hAnsi="Times New Roman"/>
          <w:lang w:eastAsia="zh-CN"/>
        </w:rPr>
        <w:t>密码与网络空间安全学院</w:t>
      </w:r>
      <w:r>
        <w:rPr>
          <w:rFonts w:hint="eastAsia" w:ascii="Times New Roman" w:hAnsi="Times New Roman"/>
        </w:rPr>
        <w:t>转专业工作细则。</w:t>
      </w:r>
    </w:p>
    <w:p w14:paraId="0051B0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13"/>
        <w:jc w:val="both"/>
        <w:textAlignment w:val="baseline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pacing w:val="8"/>
          <w:sz w:val="32"/>
          <w:szCs w:val="32"/>
        </w:rPr>
        <w:t>一、转专业工作领导小组</w:t>
      </w:r>
    </w:p>
    <w:p w14:paraId="6C5B7D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/>
          <w:lang w:val="en-US" w:eastAsia="zh-CN"/>
        </w:rPr>
      </w:pPr>
      <w:r>
        <w:rPr>
          <w:rFonts w:hint="eastAsia" w:ascii="Times New Roman" w:hAnsi="Times New Roman"/>
        </w:rPr>
        <w:t>组长：</w:t>
      </w:r>
      <w:r>
        <w:rPr>
          <w:rFonts w:hint="eastAsia" w:ascii="Times New Roman" w:hAnsi="Times New Roman"/>
          <w:lang w:val="en-US" w:eastAsia="zh-CN"/>
        </w:rPr>
        <w:t>刘哲理</w:t>
      </w:r>
    </w:p>
    <w:p w14:paraId="3DEE62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/>
          <w:lang w:val="en-US" w:eastAsia="zh-CN"/>
        </w:rPr>
      </w:pPr>
      <w:r>
        <w:rPr>
          <w:rFonts w:hint="eastAsia" w:ascii="Times New Roman" w:hAnsi="Times New Roman"/>
        </w:rPr>
        <w:t>成员：张莹、</w:t>
      </w:r>
      <w:r>
        <w:rPr>
          <w:rFonts w:hint="eastAsia" w:ascii="Times New Roman" w:hAnsi="Times New Roman"/>
          <w:lang w:val="en-US" w:eastAsia="zh-CN"/>
        </w:rPr>
        <w:t>沈宝庆、贾春福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val="en-US" w:eastAsia="zh-CN"/>
        </w:rPr>
        <w:t>汪定、宫晓利</w:t>
      </w:r>
    </w:p>
    <w:p w14:paraId="41CFEA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密码与网络空间安全学院转专业工作领导小组为</w:t>
      </w:r>
      <w:r>
        <w:rPr>
          <w:rFonts w:hint="eastAsia" w:ascii="Times New Roman" w:hAnsi="Times New Roman"/>
        </w:rPr>
        <w:t>学院转专业工作的领导机构，全面负责本学院的转专业工作</w:t>
      </w:r>
      <w:r>
        <w:rPr>
          <w:rFonts w:hint="eastAsia" w:ascii="Times New Roman" w:hAnsi="Times New Roman"/>
          <w:lang w:eastAsia="zh-CN"/>
        </w:rPr>
        <w:t>。</w:t>
      </w:r>
    </w:p>
    <w:p w14:paraId="6891A949">
      <w:pPr>
        <w:keepNext w:val="0"/>
        <w:keepLines w:val="0"/>
        <w:pageBreakBefore w:val="0"/>
        <w:wordWrap/>
        <w:overflowPunct/>
        <w:topLinePunct w:val="0"/>
        <w:bidi w:val="0"/>
        <w:spacing w:line="227" w:lineRule="auto"/>
        <w:ind w:left="13"/>
        <w:jc w:val="both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pacing w:val="7"/>
          <w:sz w:val="32"/>
          <w:szCs w:val="32"/>
        </w:rPr>
        <w:t>二、转出条件</w:t>
      </w:r>
    </w:p>
    <w:p w14:paraId="6644EE9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43" w:line="371" w:lineRule="auto"/>
        <w:ind w:left="20" w:right="41" w:firstLine="64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6"/>
          <w:sz w:val="32"/>
          <w:szCs w:val="32"/>
        </w:rPr>
        <w:t>除《南开大学本科生转专业管理办法》规定的不允许转出的</w:t>
      </w:r>
      <w:r>
        <w:rPr>
          <w:rFonts w:ascii="Times New Roman" w:hAnsi="Times New Roman"/>
          <w:spacing w:val="7"/>
          <w:sz w:val="32"/>
          <w:szCs w:val="32"/>
        </w:rPr>
        <w:t>情形外，学院学生转出无其他限制。</w:t>
      </w:r>
    </w:p>
    <w:p w14:paraId="3A6ED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14" w:firstLine="0" w:firstLineChars="0"/>
        <w:jc w:val="both"/>
        <w:textAlignment w:val="baseline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pacing w:val="8"/>
          <w:sz w:val="32"/>
          <w:szCs w:val="32"/>
        </w:rPr>
        <w:t>三、转入基本申请条件</w:t>
      </w:r>
    </w:p>
    <w:p w14:paraId="6337B2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目前尚在大类内培养的2024级本科生可申请转入至非本人学籍所属大类对应的专业（或专业类），且转专业成功后不参与原学籍大类的大类分流。预转入至本人学籍所属大类对应的专业（或专业类）的可在本学期大类分流时申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。</w:t>
      </w:r>
    </w:p>
    <w:p w14:paraId="2157295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符合《南开大学本科生转专业管理办法》第五条、第六条规定，且满足以下条件的学生，可以提出转专业申请：</w:t>
      </w:r>
    </w:p>
    <w:p w14:paraId="4C3CDF6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学生所修必修课程（通识必修课、大类基础课、专业必修课三类课程）成绩全部合格，不含重修合格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。</w:t>
      </w:r>
    </w:p>
    <w:p w14:paraId="106482C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2022级及以上申请转入学生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必修课程的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平均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学分绩不低于70分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2023级、2024级申请转入学生必修课程的平均学分绩点不低于2.0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。</w:t>
      </w:r>
    </w:p>
    <w:p w14:paraId="7180B585">
      <w:pPr>
        <w:keepNext w:val="0"/>
        <w:keepLines w:val="0"/>
        <w:pageBreakBefore w:val="0"/>
        <w:wordWrap/>
        <w:overflowPunct/>
        <w:topLinePunct w:val="0"/>
        <w:bidi w:val="0"/>
        <w:spacing w:line="226" w:lineRule="auto"/>
        <w:ind w:left="26"/>
        <w:jc w:val="both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pacing w:val="4"/>
          <w:sz w:val="32"/>
          <w:szCs w:val="32"/>
        </w:rPr>
        <w:t>四、选拔流程</w:t>
      </w:r>
    </w:p>
    <w:p w14:paraId="3AAE01B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46" w:line="221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（</w:t>
      </w:r>
      <w:r>
        <w:rPr>
          <w:rFonts w:ascii="Times New Roman" w:hAnsi="Times New Roman"/>
          <w:spacing w:val="-7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一）确定复试名单</w:t>
      </w:r>
    </w:p>
    <w:p w14:paraId="2B4C5E5A">
      <w:pPr>
        <w:keepNext w:val="0"/>
        <w:keepLines w:val="0"/>
        <w:pageBreakBefore w:val="0"/>
        <w:wordWrap/>
        <w:overflowPunct/>
        <w:topLinePunct w:val="0"/>
        <w:bidi w:val="0"/>
        <w:spacing w:line="221" w:lineRule="auto"/>
        <w:jc w:val="both"/>
        <w:rPr>
          <w:rFonts w:ascii="Times New Roman" w:hAnsi="Times New Roman"/>
        </w:rPr>
      </w:pPr>
    </w:p>
    <w:p w14:paraId="4C19D7B7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 学院公布各专业接收计划信息。</w:t>
      </w:r>
    </w:p>
    <w:p w14:paraId="15894DA4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 学生登录教学管理信息系统在线提交申请，由我院根据“转入基本申请条件”进行初审。</w:t>
      </w:r>
    </w:p>
    <w:p w14:paraId="07E59B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 学院向通过初审的学生发布复试通知，由学生本人确认是否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参加。</w:t>
      </w:r>
    </w:p>
    <w:p w14:paraId="1162468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pacing w:val="1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pacing w:val="1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spacing w:val="-8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spacing w:val="1"/>
          <w:sz w:val="32"/>
          <w:szCs w:val="32"/>
        </w:rPr>
        <w:t>二）复试考核形式</w:t>
      </w:r>
    </w:p>
    <w:p w14:paraId="6A264D1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/>
          <w:lang w:val="en-US" w:eastAsia="zh-CN"/>
        </w:rPr>
      </w:pPr>
      <w:r>
        <w:rPr>
          <w:rFonts w:hint="eastAsia"/>
        </w:rPr>
        <w:t>学院发布复试通知，组织申请转入的学生以面试的形式进行考核。</w:t>
      </w:r>
      <w:r>
        <w:rPr>
          <w:rFonts w:hint="eastAsia"/>
          <w:lang w:val="en-US" w:eastAsia="zh-CN"/>
        </w:rPr>
        <w:t>人均面试时长8-10分钟。</w:t>
      </w:r>
    </w:p>
    <w:p w14:paraId="52D9425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lang w:val="en-US" w:eastAsia="zh-CN"/>
        </w:rPr>
      </w:pPr>
      <w:r>
        <w:rPr>
          <w:rFonts w:hint="eastAsia"/>
        </w:rPr>
        <w:t>面试</w:t>
      </w:r>
      <w:r>
        <w:rPr>
          <w:rFonts w:hint="eastAsia"/>
          <w:lang w:val="en-US" w:eastAsia="zh-CN"/>
        </w:rPr>
        <w:t>考核内容：</w:t>
      </w:r>
    </w:p>
    <w:p w14:paraId="0F56891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</w:rPr>
      </w:pPr>
      <w:r>
        <w:rPr>
          <w:rFonts w:hint="eastAsia"/>
          <w:lang w:val="en-US" w:eastAsia="zh-CN"/>
        </w:rPr>
        <w:t>网络空间安全学科基础、编程能力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外语能力、综合素质</w:t>
      </w:r>
      <w:r>
        <w:rPr>
          <w:rFonts w:hint="eastAsia"/>
        </w:rPr>
        <w:t>。</w:t>
      </w:r>
    </w:p>
    <w:p w14:paraId="2749129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2145" w:tblpY="698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90"/>
        <w:gridCol w:w="1405"/>
        <w:gridCol w:w="1463"/>
        <w:gridCol w:w="1463"/>
        <w:gridCol w:w="1828"/>
      </w:tblGrid>
      <w:tr w14:paraId="132D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5B5623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490" w:type="dxa"/>
            <w:vAlign w:val="center"/>
          </w:tcPr>
          <w:p w14:paraId="4B0331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网络空间安全学科基础</w:t>
            </w:r>
          </w:p>
        </w:tc>
        <w:tc>
          <w:tcPr>
            <w:tcW w:w="1405" w:type="dxa"/>
            <w:vAlign w:val="center"/>
          </w:tcPr>
          <w:p w14:paraId="11D30E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编程能力</w:t>
            </w:r>
          </w:p>
        </w:tc>
        <w:tc>
          <w:tcPr>
            <w:tcW w:w="1463" w:type="dxa"/>
            <w:vAlign w:val="center"/>
          </w:tcPr>
          <w:p w14:paraId="2391AD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外语能力</w:t>
            </w:r>
          </w:p>
        </w:tc>
        <w:tc>
          <w:tcPr>
            <w:tcW w:w="1463" w:type="dxa"/>
            <w:vAlign w:val="center"/>
          </w:tcPr>
          <w:p w14:paraId="4493B9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综合素质</w:t>
            </w:r>
          </w:p>
        </w:tc>
        <w:tc>
          <w:tcPr>
            <w:tcW w:w="1828" w:type="dxa"/>
            <w:vAlign w:val="center"/>
          </w:tcPr>
          <w:p w14:paraId="62F0CA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总分</w:t>
            </w:r>
          </w:p>
        </w:tc>
      </w:tr>
      <w:tr w14:paraId="279A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181187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1490" w:type="dxa"/>
            <w:vAlign w:val="center"/>
          </w:tcPr>
          <w:p w14:paraId="613228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05" w:type="dxa"/>
            <w:vAlign w:val="center"/>
          </w:tcPr>
          <w:p w14:paraId="5CB390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689D1C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63" w:type="dxa"/>
            <w:vAlign w:val="center"/>
          </w:tcPr>
          <w:p w14:paraId="32B9DD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828" w:type="dxa"/>
            <w:vAlign w:val="center"/>
          </w:tcPr>
          <w:p w14:paraId="17D92E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</w:t>
            </w:r>
          </w:p>
        </w:tc>
      </w:tr>
    </w:tbl>
    <w:p w14:paraId="00E508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Times New Roman" w:hAnsi="Times New Roman"/>
          <w:spacing w:val="-8"/>
        </w:rPr>
      </w:pPr>
    </w:p>
    <w:p w14:paraId="350E59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baseline"/>
        <w:rPr>
          <w:rFonts w:ascii="Times New Roman" w:hAnsi="Times New Roman"/>
          <w:spacing w:val="-8"/>
          <w:sz w:val="32"/>
          <w:szCs w:val="32"/>
        </w:rPr>
      </w:pPr>
    </w:p>
    <w:p w14:paraId="02D8B8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8"/>
          <w:sz w:val="32"/>
          <w:szCs w:val="32"/>
        </w:rPr>
        <w:t>（</w:t>
      </w:r>
      <w:r>
        <w:rPr>
          <w:rFonts w:ascii="Times New Roman" w:hAnsi="Times New Roman"/>
          <w:spacing w:val="-73"/>
          <w:sz w:val="32"/>
          <w:szCs w:val="32"/>
        </w:rPr>
        <w:t xml:space="preserve"> </w:t>
      </w:r>
      <w:r>
        <w:rPr>
          <w:rFonts w:ascii="Times New Roman" w:hAnsi="Times New Roman"/>
          <w:spacing w:val="-8"/>
          <w:sz w:val="32"/>
          <w:szCs w:val="32"/>
        </w:rPr>
        <w:t>三）录取</w:t>
      </w:r>
    </w:p>
    <w:p w14:paraId="4FC989E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4" w:firstLineChars="200"/>
        <w:jc w:val="both"/>
        <w:textAlignment w:val="baseline"/>
        <w:rPr>
          <w:rFonts w:ascii="Times New Roman" w:hAnsi="Times New Roman"/>
          <w:spacing w:val="6"/>
          <w:position w:val="1"/>
          <w:sz w:val="32"/>
          <w:szCs w:val="32"/>
        </w:rPr>
      </w:pPr>
      <w:r>
        <w:rPr>
          <w:rFonts w:ascii="Times New Roman" w:hAnsi="Times New Roman"/>
          <w:spacing w:val="6"/>
          <w:position w:val="1"/>
          <w:sz w:val="32"/>
          <w:szCs w:val="32"/>
        </w:rPr>
        <w:t>录取成绩计算规则</w:t>
      </w:r>
    </w:p>
    <w:p w14:paraId="08AADB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4" w:firstLineChars="200"/>
        <w:jc w:val="both"/>
        <w:textAlignment w:val="baseline"/>
        <w:rPr>
          <w:rFonts w:ascii="Times New Roman" w:hAnsi="Times New Roman"/>
          <w:spacing w:val="6"/>
          <w:position w:val="1"/>
          <w:sz w:val="32"/>
          <w:szCs w:val="32"/>
        </w:rPr>
      </w:pPr>
      <w:r>
        <w:rPr>
          <w:rFonts w:hint="eastAsia" w:ascii="Times New Roman" w:hAnsi="Times New Roman"/>
          <w:spacing w:val="6"/>
          <w:position w:val="1"/>
          <w:sz w:val="32"/>
          <w:szCs w:val="32"/>
        </w:rPr>
        <w:t>录取参考复试成绩，低于60分者为不合格，不予接收。若合格人数超过接收名额，则按复试成绩排序，成绩高者优先接收。</w:t>
      </w:r>
    </w:p>
    <w:p w14:paraId="2D1338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4" w:firstLineChars="200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pacing w:val="6"/>
          <w:positio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6"/>
          <w:position w:val="2"/>
          <w:sz w:val="32"/>
          <w:szCs w:val="32"/>
        </w:rPr>
        <w:t xml:space="preserve">. </w:t>
      </w:r>
      <w:r>
        <w:rPr>
          <w:rFonts w:ascii="Times New Roman" w:hAnsi="Times New Roman"/>
          <w:spacing w:val="6"/>
          <w:position w:val="2"/>
          <w:sz w:val="32"/>
          <w:szCs w:val="32"/>
        </w:rPr>
        <w:t>拟录取名单公示</w:t>
      </w:r>
    </w:p>
    <w:p w14:paraId="52B642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拟录取名单将在学院网络主页和学院公告栏进行公示，公示期不少于三天。</w:t>
      </w:r>
    </w:p>
    <w:p w14:paraId="1539AF0B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ind w:left="16"/>
        <w:jc w:val="both"/>
        <w:textAlignment w:val="baseline"/>
        <w:rPr>
          <w:rFonts w:ascii="Times New Roman" w:hAnsi="Times New Roman" w:eastAsia="黑体" w:cs="黑体"/>
          <w:spacing w:val="8"/>
          <w:sz w:val="32"/>
          <w:szCs w:val="32"/>
        </w:rPr>
      </w:pPr>
      <w:r>
        <w:rPr>
          <w:rFonts w:ascii="Times New Roman" w:hAnsi="Times New Roman" w:eastAsia="黑体" w:cs="黑体"/>
          <w:spacing w:val="8"/>
          <w:sz w:val="32"/>
          <w:szCs w:val="32"/>
        </w:rPr>
        <w:t>争议情况处理及解释权归属</w:t>
      </w:r>
    </w:p>
    <w:p w14:paraId="747FDD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如申请学生对结果存在异议，可在公示期内向</w:t>
      </w:r>
      <w:r>
        <w:rPr>
          <w:rFonts w:hint="eastAsia"/>
          <w:sz w:val="32"/>
          <w:szCs w:val="32"/>
          <w:lang w:eastAsia="zh-CN"/>
        </w:rPr>
        <w:t>密码与网络空间安全学院</w:t>
      </w:r>
      <w:r>
        <w:rPr>
          <w:rFonts w:hint="eastAsia"/>
          <w:sz w:val="32"/>
          <w:szCs w:val="32"/>
        </w:rPr>
        <w:t>本科教学办公室提出书面复议申请，由</w:t>
      </w:r>
      <w:r>
        <w:rPr>
          <w:rFonts w:hint="eastAsia"/>
          <w:sz w:val="32"/>
          <w:szCs w:val="32"/>
          <w:lang w:eastAsia="zh-CN"/>
        </w:rPr>
        <w:t>密码与网络空间安全学院</w:t>
      </w:r>
      <w:r>
        <w:rPr>
          <w:rFonts w:hint="eastAsia"/>
          <w:sz w:val="32"/>
          <w:szCs w:val="32"/>
        </w:rPr>
        <w:t>转专业领导小组进行复核，本细则由</w:t>
      </w:r>
      <w:r>
        <w:rPr>
          <w:rFonts w:hint="eastAsia"/>
          <w:sz w:val="32"/>
          <w:szCs w:val="32"/>
          <w:lang w:eastAsia="zh-CN"/>
        </w:rPr>
        <w:t>密码与网络空间安全学院</w:t>
      </w:r>
      <w:r>
        <w:rPr>
          <w:rFonts w:hint="eastAsia"/>
          <w:sz w:val="32"/>
          <w:szCs w:val="32"/>
        </w:rPr>
        <w:t>负责解释。</w:t>
      </w:r>
    </w:p>
    <w:p w14:paraId="4F75A2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联系电话：022-23503393 王老师</w:t>
      </w:r>
    </w:p>
    <w:p w14:paraId="21FB8111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hint="eastAsia" w:ascii="Times New Roman" w:hAnsi="Times New Roman" w:eastAsia="仿宋" w:cs="仿宋"/>
          <w:spacing w:val="8"/>
          <w:sz w:val="32"/>
          <w:szCs w:val="32"/>
        </w:rPr>
      </w:pPr>
      <w:r>
        <w:rPr>
          <w:rFonts w:hint="eastAsia" w:ascii="Times New Roman" w:hAnsi="Times New Roman" w:eastAsia="仿宋" w:cs="仿宋"/>
          <w:spacing w:val="8"/>
          <w:sz w:val="32"/>
          <w:szCs w:val="32"/>
        </w:rPr>
        <w:br w:type="page"/>
      </w:r>
    </w:p>
    <w:p w14:paraId="4619290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254" w:line="227" w:lineRule="auto"/>
        <w:jc w:val="both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 w:eastAsia="黑体" w:cs="黑体"/>
          <w:spacing w:val="6"/>
          <w:sz w:val="32"/>
          <w:szCs w:val="32"/>
        </w:rPr>
        <w:t>六、接收计划</w:t>
      </w:r>
    </w:p>
    <w:p w14:paraId="6B93940E">
      <w:pPr>
        <w:keepNext w:val="0"/>
        <w:keepLines w:val="0"/>
        <w:pageBreakBefore w:val="0"/>
        <w:wordWrap/>
        <w:overflowPunct/>
        <w:topLinePunct w:val="0"/>
        <w:bidi w:val="0"/>
        <w:spacing w:line="115" w:lineRule="exact"/>
        <w:jc w:val="both"/>
        <w:rPr>
          <w:rFonts w:ascii="Times New Roman" w:hAnsi="Times New Roman"/>
        </w:rPr>
      </w:pPr>
    </w:p>
    <w:tbl>
      <w:tblPr>
        <w:tblStyle w:val="7"/>
        <w:tblW w:w="8145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2010"/>
        <w:gridCol w:w="1230"/>
        <w:gridCol w:w="1590"/>
      </w:tblGrid>
      <w:tr w14:paraId="12689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5BC0C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</w:rPr>
              <w:t>接收专业</w:t>
            </w:r>
            <w:r>
              <w:rPr>
                <w:rFonts w:ascii="Times New Roman" w:hAnsi="Times New Roman" w:eastAsia="仿宋" w:cs="仿宋"/>
                <w:spacing w:val="-2"/>
                <w:sz w:val="31"/>
                <w:szCs w:val="31"/>
              </w:rPr>
              <w:t>（含大类）</w:t>
            </w:r>
          </w:p>
        </w:tc>
        <w:tc>
          <w:tcPr>
            <w:tcW w:w="2010" w:type="dxa"/>
            <w:vAlign w:val="center"/>
          </w:tcPr>
          <w:p w14:paraId="2CC464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1" w:line="222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</w:rPr>
              <w:t>接收年级</w:t>
            </w:r>
          </w:p>
        </w:tc>
        <w:tc>
          <w:tcPr>
            <w:tcW w:w="1230" w:type="dxa"/>
            <w:vAlign w:val="center"/>
          </w:tcPr>
          <w:p w14:paraId="29DE55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71" w:line="339" w:lineRule="auto"/>
              <w:ind w:left="22" w:right="5" w:hanging="2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-7"/>
                <w:sz w:val="31"/>
                <w:szCs w:val="31"/>
              </w:rPr>
              <w:t>接收人数</w:t>
            </w:r>
          </w:p>
        </w:tc>
        <w:tc>
          <w:tcPr>
            <w:tcW w:w="1590" w:type="dxa"/>
            <w:vAlign w:val="center"/>
          </w:tcPr>
          <w:p w14:paraId="19BB01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1" w:line="225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z w:val="31"/>
                <w:szCs w:val="31"/>
              </w:rPr>
              <w:t>备注</w:t>
            </w:r>
          </w:p>
        </w:tc>
      </w:tr>
      <w:tr w14:paraId="6C45B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6BB074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信息安全、法学双学位班</w:t>
            </w:r>
          </w:p>
        </w:tc>
        <w:tc>
          <w:tcPr>
            <w:tcW w:w="2010" w:type="dxa"/>
            <w:vAlign w:val="center"/>
          </w:tcPr>
          <w:p w14:paraId="0D39E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2024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3B5C7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4DD632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246E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780EF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信息安全</w:t>
            </w:r>
          </w:p>
        </w:tc>
        <w:tc>
          <w:tcPr>
            <w:tcW w:w="2010" w:type="dxa"/>
            <w:vAlign w:val="center"/>
          </w:tcPr>
          <w:p w14:paraId="5D462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2024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38B8C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10</w:t>
            </w:r>
          </w:p>
        </w:tc>
        <w:tc>
          <w:tcPr>
            <w:tcW w:w="1590" w:type="dxa"/>
            <w:vAlign w:val="center"/>
          </w:tcPr>
          <w:p w14:paraId="2D3B31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5AE8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6FD874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物联网工程</w:t>
            </w:r>
          </w:p>
        </w:tc>
        <w:tc>
          <w:tcPr>
            <w:tcW w:w="2010" w:type="dxa"/>
            <w:vAlign w:val="center"/>
          </w:tcPr>
          <w:p w14:paraId="5BB32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2024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0A6FD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10</w:t>
            </w:r>
          </w:p>
        </w:tc>
        <w:tc>
          <w:tcPr>
            <w:tcW w:w="1590" w:type="dxa"/>
            <w:vAlign w:val="center"/>
          </w:tcPr>
          <w:p w14:paraId="2285F3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65D6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396ED6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密码科学与技术</w:t>
            </w:r>
          </w:p>
        </w:tc>
        <w:tc>
          <w:tcPr>
            <w:tcW w:w="2010" w:type="dxa"/>
            <w:vAlign w:val="center"/>
          </w:tcPr>
          <w:p w14:paraId="1C234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2024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05AF3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10</w:t>
            </w:r>
          </w:p>
        </w:tc>
        <w:tc>
          <w:tcPr>
            <w:tcW w:w="1590" w:type="dxa"/>
            <w:vAlign w:val="center"/>
          </w:tcPr>
          <w:p w14:paraId="0EC73E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69DDE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52C3CB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不分专业</w:t>
            </w:r>
          </w:p>
        </w:tc>
        <w:tc>
          <w:tcPr>
            <w:tcW w:w="2010" w:type="dxa"/>
            <w:vAlign w:val="center"/>
          </w:tcPr>
          <w:p w14:paraId="67316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ind w:left="17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31"/>
                <w:szCs w:val="31"/>
              </w:rPr>
              <w:t>2023</w:t>
            </w:r>
            <w:r>
              <w:rPr>
                <w:rFonts w:ascii="Times New Roman" w:hAnsi="Times New Roman" w:eastAsia="仿宋" w:cs="仿宋"/>
                <w:spacing w:val="3"/>
                <w:position w:val="2"/>
                <w:sz w:val="31"/>
                <w:szCs w:val="31"/>
              </w:rPr>
              <w:t>级及以上</w:t>
            </w:r>
          </w:p>
        </w:tc>
        <w:tc>
          <w:tcPr>
            <w:tcW w:w="1230" w:type="dxa"/>
            <w:vAlign w:val="center"/>
          </w:tcPr>
          <w:p w14:paraId="767F0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2B567A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</w:tbl>
    <w:p w14:paraId="23A600A3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ascii="Times New Roman" w:hAnsi="Times New Roman"/>
          <w:sz w:val="21"/>
        </w:rPr>
      </w:pPr>
    </w:p>
    <w:p w14:paraId="018D70C9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ascii="Times New Roman" w:hAnsi="Times New Roman"/>
        </w:rPr>
      </w:pPr>
      <w:bookmarkStart w:id="0" w:name="_GoBack"/>
      <w:bookmarkEnd w:id="0"/>
    </w:p>
    <w:sectPr>
      <w:footerReference r:id="rId5" w:type="default"/>
      <w:pgSz w:w="11906" w:h="16839"/>
      <w:pgMar w:top="1440" w:right="1800" w:bottom="1440" w:left="1800" w:header="0" w:footer="9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B2343D-8D28-468D-8803-558E51C413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C32295-E88B-4F89-9348-666B534FC9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EF713A-D819-4407-8D41-2D8656758AA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BC82E9A-EBCA-46A1-8CD4-AA27C9EBBA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2FB9">
    <w:pPr>
      <w:spacing w:line="265" w:lineRule="exact"/>
      <w:ind w:left="4411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F9401"/>
    <w:multiLevelType w:val="singleLevel"/>
    <w:tmpl w:val="F15F94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B0D757"/>
    <w:multiLevelType w:val="singleLevel"/>
    <w:tmpl w:val="60B0D75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E04A0C"/>
    <w:multiLevelType w:val="singleLevel"/>
    <w:tmpl w:val="75E04A0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4E03"/>
    <w:rsid w:val="02362DE5"/>
    <w:rsid w:val="12330E45"/>
    <w:rsid w:val="17F34A22"/>
    <w:rsid w:val="38EA6B94"/>
    <w:rsid w:val="688349CA"/>
    <w:rsid w:val="72C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1049</Words>
  <Characters>1109</Characters>
  <Lines>0</Lines>
  <Paragraphs>0</Paragraphs>
  <TotalTime>12</TotalTime>
  <ScaleCrop>false</ScaleCrop>
  <LinksUpToDate>false</LinksUpToDate>
  <CharactersWithSpaces>1119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2025-03-07T07:10:00Z</dcterms:created>
  <dc:creator>diva1409142137</dc:creator>
  <cp:lastModifiedBy>diva1409142137</cp:lastModifiedBy>
  <cp:lastPrinted>2025-03-10T05:46:00Z</cp:lastPrinted>
  <dcterms:modified xsi:type="dcterms:W3CDTF">2025-03-11T06:38:53Z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7082D381B3C3462B9AC723D006C33B21_13</vt:lpwstr>
  </property>
  <property fmtid="{D5CDD505-2E9C-101B-9397-08002B2CF9AE}" pid="4" name="KSOTemplateDocerSaveRecord">
    <vt:lpwstr>eyJoZGlkIjoiNTg4YzFlZTIyYTFlZDkzYTg4YTAyNjdlY2Q5ZTI0ZGUiLCJ1c2VySWQiOiIyMDYzNTgxMCJ9</vt:lpwstr>
  </property>
</Properties>
</file>