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23297">
      <w:pPr>
        <w:jc w:val="center"/>
        <w:rPr>
          <w:rFonts w:ascii="仿宋_GB2312" w:eastAsia="仿宋_GB2312"/>
          <w:b/>
          <w:bCs/>
          <w:sz w:val="32"/>
          <w:szCs w:val="24"/>
          <w:highlight w:val="none"/>
        </w:rPr>
      </w:pPr>
      <w:r>
        <w:rPr>
          <w:rFonts w:hint="eastAsia" w:ascii="仿宋_GB2312" w:eastAsia="仿宋_GB2312"/>
          <w:b/>
          <w:bCs/>
          <w:sz w:val="32"/>
          <w:szCs w:val="24"/>
          <w:highlight w:val="none"/>
        </w:rPr>
        <w:t>统计与数据科学学院</w:t>
      </w:r>
      <w:r>
        <w:rPr>
          <w:rFonts w:ascii="仿宋_GB2312" w:eastAsia="仿宋_GB2312"/>
          <w:b/>
          <w:bCs/>
          <w:sz w:val="32"/>
          <w:szCs w:val="24"/>
          <w:highlight w:val="none"/>
        </w:rPr>
        <w:t>202</w:t>
      </w:r>
      <w:r>
        <w:rPr>
          <w:rFonts w:hint="eastAsia" w:ascii="仿宋_GB2312" w:eastAsia="仿宋_GB2312"/>
          <w:b/>
          <w:bCs/>
          <w:sz w:val="32"/>
          <w:szCs w:val="24"/>
          <w:highlight w:val="none"/>
          <w:lang w:val="en-US" w:eastAsia="zh-CN"/>
        </w:rPr>
        <w:t>6</w:t>
      </w:r>
      <w:r>
        <w:rPr>
          <w:rFonts w:ascii="仿宋_GB2312" w:eastAsia="仿宋_GB2312"/>
          <w:b/>
          <w:bCs/>
          <w:sz w:val="32"/>
          <w:szCs w:val="24"/>
          <w:highlight w:val="none"/>
        </w:rPr>
        <w:t>年</w:t>
      </w:r>
      <w:r>
        <w:rPr>
          <w:rFonts w:hint="eastAsia" w:ascii="仿宋_GB2312" w:eastAsia="仿宋_GB2312"/>
          <w:b/>
          <w:bCs/>
          <w:sz w:val="32"/>
          <w:szCs w:val="24"/>
          <w:highlight w:val="none"/>
        </w:rPr>
        <w:t>本科生转专业细则及接收计划</w:t>
      </w:r>
    </w:p>
    <w:p w14:paraId="37CB727E">
      <w:pPr>
        <w:jc w:val="center"/>
        <w:rPr>
          <w:rFonts w:ascii="仿宋_GB2312" w:eastAsia="仿宋_GB2312"/>
          <w:b/>
          <w:bCs/>
          <w:sz w:val="32"/>
          <w:szCs w:val="24"/>
          <w:highlight w:val="none"/>
        </w:rPr>
      </w:pPr>
    </w:p>
    <w:p w14:paraId="12F428FD">
      <w:pPr>
        <w:ind w:firstLine="560" w:firstLineChars="200"/>
        <w:rPr>
          <w:rFonts w:ascii="仿宋_GB2312" w:eastAsia="仿宋_GB2312"/>
          <w:sz w:val="28"/>
          <w:highlight w:val="none"/>
        </w:rPr>
      </w:pPr>
      <w:r>
        <w:rPr>
          <w:rFonts w:hint="eastAsia" w:ascii="仿宋_GB2312" w:eastAsia="仿宋_GB2312"/>
          <w:sz w:val="28"/>
          <w:highlight w:val="none"/>
        </w:rPr>
        <w:t>根据《南开大学本科学生学则》、《南开大学本科生转专业管理办法》、《关于</w:t>
      </w:r>
      <w:r>
        <w:rPr>
          <w:rFonts w:ascii="仿宋_GB2312" w:eastAsia="仿宋_GB2312"/>
          <w:sz w:val="28"/>
          <w:highlight w:val="none"/>
        </w:rPr>
        <w:t>202</w:t>
      </w:r>
      <w:r>
        <w:rPr>
          <w:rFonts w:hint="eastAsia" w:ascii="仿宋_GB2312" w:eastAsia="仿宋_GB2312"/>
          <w:sz w:val="28"/>
          <w:highlight w:val="none"/>
          <w:lang w:val="en-US" w:eastAsia="zh-CN"/>
        </w:rPr>
        <w:t>6</w:t>
      </w:r>
      <w:r>
        <w:rPr>
          <w:rFonts w:ascii="仿宋_GB2312" w:eastAsia="仿宋_GB2312"/>
          <w:sz w:val="28"/>
          <w:highlight w:val="none"/>
        </w:rPr>
        <w:t>年本科生转专业工作的通知</w:t>
      </w:r>
      <w:r>
        <w:rPr>
          <w:rFonts w:hint="eastAsia" w:ascii="仿宋_GB2312" w:eastAsia="仿宋_GB2312"/>
          <w:sz w:val="28"/>
          <w:highlight w:val="none"/>
        </w:rPr>
        <w:t>》要求，结合我院专业特点，制定我院转专业工作细则。</w:t>
      </w:r>
    </w:p>
    <w:p w14:paraId="3BD53AE4">
      <w:pPr>
        <w:ind w:firstLine="560" w:firstLineChars="200"/>
        <w:rPr>
          <w:rFonts w:ascii="仿宋_GB2312" w:eastAsia="仿宋_GB2312"/>
          <w:sz w:val="28"/>
          <w:highlight w:val="none"/>
        </w:rPr>
      </w:pPr>
    </w:p>
    <w:p w14:paraId="7E411384">
      <w:pPr>
        <w:numPr>
          <w:ilvl w:val="0"/>
          <w:numId w:val="1"/>
        </w:numPr>
        <w:ind w:firstLine="562" w:firstLineChars="200"/>
        <w:rPr>
          <w:rFonts w:ascii="仿宋_GB2312" w:eastAsia="仿宋_GB2312"/>
          <w:b/>
          <w:bCs/>
          <w:sz w:val="28"/>
          <w:highlight w:val="none"/>
        </w:rPr>
      </w:pPr>
      <w:r>
        <w:rPr>
          <w:rFonts w:hint="eastAsia" w:ascii="仿宋_GB2312" w:eastAsia="仿宋_GB2312"/>
          <w:b/>
          <w:bCs/>
          <w:sz w:val="28"/>
          <w:highlight w:val="none"/>
        </w:rPr>
        <w:t>转专业工作领导小组</w:t>
      </w:r>
    </w:p>
    <w:p w14:paraId="2196B53A">
      <w:pPr>
        <w:ind w:firstLine="560" w:firstLineChars="200"/>
        <w:rPr>
          <w:rFonts w:ascii="仿宋_GB2312" w:eastAsia="仿宋_GB2312"/>
          <w:sz w:val="28"/>
          <w:highlight w:val="none"/>
        </w:rPr>
      </w:pPr>
      <w:r>
        <w:rPr>
          <w:rFonts w:hint="eastAsia" w:ascii="仿宋_GB2312" w:eastAsia="仿宋_GB2312"/>
          <w:sz w:val="28"/>
          <w:highlight w:val="none"/>
        </w:rPr>
        <w:t>组长：王兆军、 刘民千</w:t>
      </w:r>
    </w:p>
    <w:p w14:paraId="2DB338BB">
      <w:pPr>
        <w:ind w:firstLine="560" w:firstLineChars="200"/>
        <w:rPr>
          <w:rFonts w:ascii="仿宋_GB2312" w:eastAsia="仿宋_GB2312"/>
          <w:sz w:val="28"/>
          <w:highlight w:val="none"/>
        </w:rPr>
      </w:pPr>
      <w:r>
        <w:rPr>
          <w:rFonts w:hint="eastAsia" w:ascii="仿宋_GB2312" w:eastAsia="仿宋_GB2312"/>
          <w:sz w:val="28"/>
          <w:highlight w:val="none"/>
        </w:rPr>
        <w:t>成员：阿依古丽、耿薇、胡刚、李忠华、周永道</w:t>
      </w:r>
    </w:p>
    <w:p w14:paraId="4F941C6C">
      <w:pPr>
        <w:ind w:firstLine="560" w:firstLineChars="200"/>
        <w:rPr>
          <w:rFonts w:ascii="仿宋_GB2312" w:eastAsia="仿宋_GB2312"/>
          <w:sz w:val="28"/>
          <w:highlight w:val="none"/>
        </w:rPr>
      </w:pPr>
      <w:r>
        <w:rPr>
          <w:rFonts w:hint="eastAsia" w:ascii="仿宋_GB2312" w:eastAsia="仿宋_GB2312"/>
          <w:sz w:val="28"/>
          <w:highlight w:val="none"/>
        </w:rPr>
        <w:t>秘书：周晓英</w:t>
      </w:r>
    </w:p>
    <w:p w14:paraId="001347CF">
      <w:pPr>
        <w:ind w:firstLine="560" w:firstLineChars="200"/>
        <w:rPr>
          <w:rFonts w:ascii="仿宋_GB2312" w:eastAsia="仿宋_GB2312"/>
          <w:sz w:val="28"/>
          <w:highlight w:val="none"/>
        </w:rPr>
      </w:pPr>
      <w:r>
        <w:rPr>
          <w:rFonts w:hint="eastAsia" w:ascii="仿宋_GB2312" w:eastAsia="仿宋_GB2312"/>
          <w:sz w:val="28"/>
          <w:highlight w:val="none"/>
        </w:rPr>
        <w:t>注：转专业工作领导小组为学院转专业工作的领导机构，全面负责本学院的转专业工作。</w:t>
      </w:r>
    </w:p>
    <w:p w14:paraId="7EB68B3D">
      <w:pPr>
        <w:numPr>
          <w:ilvl w:val="0"/>
          <w:numId w:val="1"/>
        </w:numPr>
        <w:ind w:firstLine="562" w:firstLineChars="200"/>
        <w:rPr>
          <w:rFonts w:ascii="仿宋_GB2312" w:eastAsia="仿宋_GB2312"/>
          <w:b/>
          <w:bCs/>
          <w:sz w:val="28"/>
          <w:highlight w:val="none"/>
        </w:rPr>
      </w:pPr>
      <w:r>
        <w:rPr>
          <w:rFonts w:hint="eastAsia" w:ascii="仿宋_GB2312" w:eastAsia="仿宋_GB2312"/>
          <w:b/>
          <w:bCs/>
          <w:sz w:val="28"/>
          <w:highlight w:val="none"/>
        </w:rPr>
        <w:t>转出条件</w:t>
      </w:r>
    </w:p>
    <w:p w14:paraId="3C08A876">
      <w:pPr>
        <w:ind w:firstLine="560" w:firstLineChars="200"/>
        <w:rPr>
          <w:rFonts w:ascii="仿宋_GB2312" w:eastAsia="仿宋_GB2312"/>
          <w:sz w:val="28"/>
          <w:highlight w:val="none"/>
        </w:rPr>
      </w:pPr>
      <w:r>
        <w:rPr>
          <w:rFonts w:hint="eastAsia" w:ascii="仿宋_GB2312" w:eastAsia="仿宋_GB2312"/>
          <w:sz w:val="28"/>
          <w:highlight w:val="none"/>
        </w:rPr>
        <w:t>除《南开大学本科生转专业管理办法》规定的不允许转出的情形外，学院学生转出无其他限制。</w:t>
      </w:r>
    </w:p>
    <w:p w14:paraId="33337D60">
      <w:pPr>
        <w:numPr>
          <w:ilvl w:val="0"/>
          <w:numId w:val="1"/>
        </w:numPr>
        <w:ind w:firstLine="562" w:firstLineChars="200"/>
        <w:rPr>
          <w:rFonts w:ascii="仿宋_GB2312" w:eastAsia="仿宋_GB2312"/>
          <w:b/>
          <w:bCs/>
          <w:sz w:val="28"/>
          <w:highlight w:val="none"/>
        </w:rPr>
      </w:pPr>
      <w:r>
        <w:rPr>
          <w:rFonts w:hint="eastAsia" w:ascii="仿宋_GB2312" w:eastAsia="仿宋_GB2312"/>
          <w:b/>
          <w:bCs/>
          <w:sz w:val="28"/>
          <w:highlight w:val="none"/>
        </w:rPr>
        <w:t>转入基本申请条件</w:t>
      </w:r>
      <w:bookmarkStart w:id="0" w:name="_GoBack"/>
      <w:bookmarkEnd w:id="0"/>
    </w:p>
    <w:p w14:paraId="6DC0BD40">
      <w:pPr>
        <w:numPr>
          <w:ilvl w:val="0"/>
          <w:numId w:val="2"/>
        </w:numPr>
        <w:ind w:firstLine="560" w:firstLineChars="200"/>
        <w:rPr>
          <w:rFonts w:hint="eastAsia" w:ascii="仿宋_GB2312" w:eastAsia="仿宋_GB2312"/>
          <w:sz w:val="28"/>
          <w:highlight w:val="none"/>
        </w:rPr>
      </w:pPr>
      <w:r>
        <w:rPr>
          <w:rFonts w:hint="eastAsia" w:ascii="仿宋_GB2312" w:eastAsia="仿宋_GB2312"/>
          <w:sz w:val="28"/>
          <w:highlight w:val="none"/>
        </w:rPr>
        <w:t>在校期间，无违反校风校纪行为，未受到任何处分。</w:t>
      </w:r>
    </w:p>
    <w:p w14:paraId="3178892F">
      <w:pPr>
        <w:numPr>
          <w:ilvl w:val="0"/>
          <w:numId w:val="2"/>
        </w:numPr>
        <w:ind w:firstLine="560" w:firstLineChars="200"/>
        <w:rPr>
          <w:rFonts w:ascii="仿宋_GB2312" w:eastAsia="仿宋_GB2312"/>
          <w:sz w:val="28"/>
          <w:highlight w:val="none"/>
        </w:rPr>
      </w:pPr>
      <w:r>
        <w:rPr>
          <w:rFonts w:hint="eastAsia" w:ascii="仿宋_GB2312" w:eastAsia="仿宋_GB2312"/>
          <w:sz w:val="28"/>
          <w:highlight w:val="none"/>
        </w:rPr>
        <w:t>在原专业学习期间必修课无挂科记录。</w:t>
      </w:r>
    </w:p>
    <w:p w14:paraId="18BAF9FF">
      <w:pPr>
        <w:numPr>
          <w:ilvl w:val="0"/>
          <w:numId w:val="2"/>
        </w:numPr>
        <w:ind w:firstLine="560" w:firstLineChars="200"/>
        <w:rPr>
          <w:rFonts w:ascii="仿宋_GB2312" w:eastAsia="仿宋_GB2312"/>
          <w:sz w:val="28"/>
          <w:highlight w:val="none"/>
        </w:rPr>
      </w:pPr>
      <w:r>
        <w:rPr>
          <w:rFonts w:hint="eastAsia" w:ascii="仿宋_GB2312" w:eastAsia="仿宋_GB2312"/>
          <w:sz w:val="28"/>
          <w:highlight w:val="none"/>
        </w:rPr>
        <w:t>在原专业学习期间，高等数学（A类）课程的学分绩点均不低于3.0（或78分），或高等数学（B类）课程的学分绩点均不低于3.0（或78分），或数学分析、高等代数与解析几何课程的学分绩点均不低于3.0（或78分）。</w:t>
      </w:r>
    </w:p>
    <w:p w14:paraId="0D82A2D3">
      <w:pPr>
        <w:numPr>
          <w:ilvl w:val="0"/>
          <w:numId w:val="2"/>
        </w:numPr>
        <w:ind w:firstLine="560" w:firstLineChars="200"/>
        <w:rPr>
          <w:rFonts w:ascii="仿宋_GB2312" w:eastAsia="仿宋_GB2312"/>
          <w:sz w:val="28"/>
          <w:highlight w:val="none"/>
        </w:rPr>
      </w:pPr>
      <w:r>
        <w:rPr>
          <w:rFonts w:hint="eastAsia" w:ascii="仿宋_GB2312" w:eastAsia="仿宋_GB2312"/>
          <w:sz w:val="28"/>
          <w:highlight w:val="none"/>
        </w:rPr>
        <w:t xml:space="preserve"> 必修课平均学分绩点不低于2.0（或6</w:t>
      </w:r>
      <w:r>
        <w:rPr>
          <w:rFonts w:ascii="仿宋_GB2312" w:eastAsia="仿宋_GB2312"/>
          <w:sz w:val="28"/>
          <w:highlight w:val="none"/>
        </w:rPr>
        <w:t>9</w:t>
      </w:r>
      <w:r>
        <w:rPr>
          <w:rFonts w:hint="eastAsia" w:ascii="仿宋_GB2312" w:eastAsia="仿宋_GB2312"/>
          <w:sz w:val="28"/>
          <w:highlight w:val="none"/>
        </w:rPr>
        <w:t>分）。</w:t>
      </w:r>
    </w:p>
    <w:p w14:paraId="67AD386A">
      <w:pPr>
        <w:numPr>
          <w:ilvl w:val="0"/>
          <w:numId w:val="1"/>
        </w:numPr>
        <w:ind w:firstLine="562" w:firstLineChars="200"/>
        <w:rPr>
          <w:rFonts w:ascii="仿宋_GB2312" w:eastAsia="仿宋_GB2312"/>
          <w:b/>
          <w:bCs/>
          <w:sz w:val="28"/>
          <w:highlight w:val="none"/>
        </w:rPr>
      </w:pPr>
      <w:r>
        <w:rPr>
          <w:rFonts w:hint="eastAsia" w:ascii="仿宋_GB2312" w:eastAsia="仿宋_GB2312"/>
          <w:b/>
          <w:bCs/>
          <w:sz w:val="28"/>
          <w:highlight w:val="none"/>
        </w:rPr>
        <w:t>选拔流程</w:t>
      </w:r>
    </w:p>
    <w:p w14:paraId="7B5A2A73">
      <w:pPr>
        <w:ind w:firstLine="560" w:firstLineChars="200"/>
        <w:rPr>
          <w:rFonts w:ascii="仿宋_GB2312" w:eastAsia="仿宋_GB2312"/>
          <w:sz w:val="28"/>
          <w:highlight w:val="none"/>
        </w:rPr>
      </w:pPr>
      <w:r>
        <w:rPr>
          <w:rFonts w:hint="eastAsia" w:ascii="仿宋_GB2312" w:eastAsia="仿宋_GB2312"/>
          <w:sz w:val="28"/>
          <w:highlight w:val="none"/>
        </w:rPr>
        <w:t>1、学院依据接收条件，对申请转入我院学生的资格进行初审。</w:t>
      </w:r>
    </w:p>
    <w:p w14:paraId="4D1B65DA">
      <w:pPr>
        <w:ind w:firstLine="560" w:firstLineChars="200"/>
        <w:rPr>
          <w:rFonts w:ascii="仿宋_GB2312" w:eastAsia="仿宋_GB2312"/>
          <w:sz w:val="28"/>
          <w:highlight w:val="none"/>
        </w:rPr>
      </w:pPr>
      <w:r>
        <w:rPr>
          <w:rFonts w:hint="eastAsia" w:ascii="仿宋_GB2312" w:eastAsia="仿宋_GB2312"/>
          <w:sz w:val="28"/>
          <w:highlight w:val="none"/>
        </w:rPr>
        <w:t>2、通过资格审核的学生可以参加我院统一安排的转专业笔试，笔试时间100分钟，笔试科目如下:</w:t>
      </w:r>
    </w:p>
    <w:tbl>
      <w:tblPr>
        <w:tblStyle w:val="5"/>
        <w:tblpPr w:leftFromText="180" w:rightFromText="180" w:vertAnchor="text" w:horzAnchor="page" w:tblpX="1504" w:tblpY="548"/>
        <w:tblOverlap w:val="never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50"/>
        <w:gridCol w:w="6521"/>
      </w:tblGrid>
      <w:tr w14:paraId="15539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2F1F4193">
            <w:pPr>
              <w:pStyle w:val="11"/>
              <w:ind w:firstLine="0" w:firstLineChars="0"/>
              <w:jc w:val="center"/>
              <w:rPr>
                <w:rFonts w:ascii="仿宋_GB2312" w:eastAsia="仿宋_GB2312" w:hAnsiTheme="minorHAnsi" w:cstheme="minorBidi"/>
                <w:sz w:val="28"/>
                <w:szCs w:val="22"/>
                <w:highlight w:val="none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2"/>
                <w:highlight w:val="none"/>
              </w:rPr>
              <w:t>科目</w:t>
            </w:r>
          </w:p>
        </w:tc>
        <w:tc>
          <w:tcPr>
            <w:tcW w:w="850" w:type="dxa"/>
            <w:vAlign w:val="center"/>
          </w:tcPr>
          <w:p w14:paraId="5D237506">
            <w:pPr>
              <w:pStyle w:val="11"/>
              <w:ind w:firstLine="0" w:firstLineChars="0"/>
              <w:jc w:val="center"/>
              <w:rPr>
                <w:rFonts w:ascii="仿宋_GB2312" w:eastAsia="仿宋_GB2312" w:hAnsiTheme="minorHAnsi" w:cstheme="minorBidi"/>
                <w:sz w:val="28"/>
                <w:szCs w:val="22"/>
                <w:highlight w:val="none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2"/>
                <w:highlight w:val="none"/>
              </w:rPr>
              <w:t>分值</w:t>
            </w:r>
          </w:p>
        </w:tc>
        <w:tc>
          <w:tcPr>
            <w:tcW w:w="6521" w:type="dxa"/>
            <w:vAlign w:val="center"/>
          </w:tcPr>
          <w:p w14:paraId="344D521A">
            <w:pPr>
              <w:pStyle w:val="11"/>
              <w:ind w:firstLine="0" w:firstLineChars="0"/>
              <w:jc w:val="center"/>
              <w:rPr>
                <w:rFonts w:ascii="仿宋_GB2312" w:eastAsia="仿宋_GB2312" w:hAnsiTheme="minorHAnsi" w:cstheme="minorBidi"/>
                <w:sz w:val="28"/>
                <w:szCs w:val="22"/>
                <w:highlight w:val="none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2"/>
                <w:highlight w:val="none"/>
              </w:rPr>
              <w:t>参考书目</w:t>
            </w:r>
          </w:p>
        </w:tc>
      </w:tr>
      <w:tr w14:paraId="761A6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41EE99DF">
            <w:pPr>
              <w:pStyle w:val="11"/>
              <w:ind w:firstLine="0" w:firstLineChars="0"/>
              <w:jc w:val="center"/>
              <w:rPr>
                <w:rFonts w:ascii="仿宋_GB2312" w:eastAsia="仿宋_GB2312" w:hAnsiTheme="minorHAnsi" w:cstheme="minorBidi"/>
                <w:sz w:val="28"/>
                <w:szCs w:val="22"/>
                <w:highlight w:val="none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2"/>
                <w:highlight w:val="none"/>
              </w:rPr>
              <w:t>数学分析</w:t>
            </w:r>
          </w:p>
        </w:tc>
        <w:tc>
          <w:tcPr>
            <w:tcW w:w="850" w:type="dxa"/>
            <w:vAlign w:val="center"/>
          </w:tcPr>
          <w:p w14:paraId="7991D6ED">
            <w:pPr>
              <w:pStyle w:val="11"/>
              <w:ind w:firstLine="0" w:firstLineChars="0"/>
              <w:jc w:val="center"/>
              <w:rPr>
                <w:rFonts w:ascii="仿宋_GB2312" w:eastAsia="仿宋_GB2312" w:hAnsiTheme="minorHAnsi" w:cstheme="minorBidi"/>
                <w:sz w:val="28"/>
                <w:szCs w:val="22"/>
                <w:highlight w:val="none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2"/>
                <w:highlight w:val="none"/>
              </w:rPr>
              <w:t>50</w:t>
            </w:r>
          </w:p>
        </w:tc>
        <w:tc>
          <w:tcPr>
            <w:tcW w:w="6521" w:type="dxa"/>
            <w:vAlign w:val="center"/>
          </w:tcPr>
          <w:p w14:paraId="6AEF36E9">
            <w:pPr>
              <w:pStyle w:val="11"/>
              <w:ind w:firstLine="0" w:firstLineChars="0"/>
              <w:jc w:val="both"/>
              <w:rPr>
                <w:rFonts w:ascii="仿宋_GB2312" w:eastAsia="仿宋_GB2312" w:hAnsiTheme="minorHAnsi" w:cstheme="minorBidi"/>
                <w:sz w:val="28"/>
                <w:szCs w:val="22"/>
                <w:highlight w:val="none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2"/>
                <w:highlight w:val="none"/>
              </w:rPr>
              <w:t>《数学分析》</w:t>
            </w:r>
            <w:r>
              <w:rPr>
                <w:rFonts w:hint="eastAsia" w:ascii="仿宋_GB2312" w:eastAsia="仿宋_GB2312" w:hAnsiTheme="minorHAnsi" w:cstheme="minorBidi"/>
                <w:sz w:val="28"/>
                <w:szCs w:val="22"/>
                <w:highlight w:val="none"/>
                <w:lang w:val="en-US" w:eastAsia="zh-CN"/>
              </w:rPr>
              <w:t>1-9</w:t>
            </w:r>
            <w:r>
              <w:rPr>
                <w:rFonts w:hint="eastAsia" w:ascii="仿宋_GB2312" w:eastAsia="仿宋_GB2312" w:hAnsiTheme="minorHAnsi" w:cstheme="minorBidi"/>
                <w:sz w:val="28"/>
                <w:szCs w:val="22"/>
                <w:highlight w:val="none"/>
              </w:rPr>
              <w:t>章；南开大学数学科学学院刘春根，朱少红，李军，丁龙云主编；高等教育出版社。</w:t>
            </w:r>
          </w:p>
        </w:tc>
      </w:tr>
      <w:tr w14:paraId="2A619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6E4974E5">
            <w:pPr>
              <w:pStyle w:val="11"/>
              <w:ind w:firstLine="0" w:firstLineChars="0"/>
              <w:jc w:val="center"/>
              <w:rPr>
                <w:rFonts w:ascii="仿宋_GB2312" w:eastAsia="仿宋_GB2312" w:hAnsiTheme="minorHAnsi" w:cstheme="minorBidi"/>
                <w:sz w:val="28"/>
                <w:szCs w:val="22"/>
                <w:highlight w:val="none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2"/>
                <w:highlight w:val="none"/>
              </w:rPr>
              <w:t>高等代数</w:t>
            </w:r>
          </w:p>
        </w:tc>
        <w:tc>
          <w:tcPr>
            <w:tcW w:w="850" w:type="dxa"/>
            <w:vAlign w:val="center"/>
          </w:tcPr>
          <w:p w14:paraId="13165A1F">
            <w:pPr>
              <w:pStyle w:val="11"/>
              <w:ind w:firstLine="0" w:firstLineChars="0"/>
              <w:jc w:val="center"/>
              <w:rPr>
                <w:rFonts w:ascii="仿宋_GB2312" w:eastAsia="仿宋_GB2312" w:hAnsiTheme="minorHAnsi" w:cstheme="minorBidi"/>
                <w:sz w:val="28"/>
                <w:szCs w:val="22"/>
                <w:highlight w:val="none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2"/>
                <w:highlight w:val="none"/>
              </w:rPr>
              <w:t>50</w:t>
            </w:r>
          </w:p>
        </w:tc>
        <w:tc>
          <w:tcPr>
            <w:tcW w:w="6521" w:type="dxa"/>
            <w:vAlign w:val="center"/>
          </w:tcPr>
          <w:p w14:paraId="5B8C2483">
            <w:pPr>
              <w:pStyle w:val="11"/>
              <w:ind w:firstLine="0" w:firstLineChars="0"/>
              <w:jc w:val="both"/>
              <w:rPr>
                <w:rFonts w:ascii="仿宋_GB2312" w:eastAsia="仿宋_GB2312" w:hAnsiTheme="minorHAnsi" w:cstheme="minorBidi"/>
                <w:sz w:val="28"/>
                <w:szCs w:val="22"/>
                <w:highlight w:val="none"/>
              </w:rPr>
            </w:pPr>
            <w:r>
              <w:rPr>
                <w:rFonts w:hint="eastAsia" w:ascii="仿宋_GB2312" w:eastAsia="仿宋_GB2312" w:hAnsiTheme="minorHAnsi" w:cstheme="minorBidi"/>
                <w:sz w:val="28"/>
                <w:szCs w:val="22"/>
                <w:highlight w:val="none"/>
              </w:rPr>
              <w:t>《高等代数》（第四版）（范围</w:t>
            </w:r>
            <w:r>
              <w:rPr>
                <w:rFonts w:hint="eastAsia" w:ascii="仿宋_GB2312" w:eastAsia="仿宋_GB2312" w:hAnsiTheme="minorHAnsi" w:cstheme="minorBidi"/>
                <w:sz w:val="28"/>
                <w:szCs w:val="22"/>
                <w:highlight w:val="none"/>
                <w:lang w:eastAsia="zh-CN"/>
              </w:rPr>
              <w:t>：</w:t>
            </w:r>
            <w:r>
              <w:rPr>
                <w:rFonts w:hint="eastAsia" w:ascii="仿宋_GB2312" w:eastAsia="仿宋_GB2312" w:hAnsiTheme="minorHAnsi" w:cstheme="minorBidi"/>
                <w:sz w:val="28"/>
                <w:szCs w:val="22"/>
                <w:highlight w:val="none"/>
                <w:lang w:val="en-US" w:eastAsia="zh-CN"/>
              </w:rPr>
              <w:t>1-4</w:t>
            </w:r>
            <w:r>
              <w:rPr>
                <w:rFonts w:hint="eastAsia" w:ascii="仿宋_GB2312" w:eastAsia="仿宋_GB2312" w:hAnsiTheme="minorHAnsi" w:cstheme="minorBidi"/>
                <w:sz w:val="28"/>
                <w:szCs w:val="22"/>
                <w:highlight w:val="none"/>
              </w:rPr>
              <w:t>章）；北京大学数学系几何与代数教研室代数小组编；王萼芳，石生明修订；高等教育出版社</w:t>
            </w:r>
          </w:p>
        </w:tc>
      </w:tr>
    </w:tbl>
    <w:p w14:paraId="7D57CEA7">
      <w:pPr>
        <w:ind w:firstLine="560" w:firstLineChars="200"/>
        <w:rPr>
          <w:rFonts w:ascii="仿宋_GB2312" w:eastAsia="仿宋_GB2312"/>
          <w:sz w:val="28"/>
          <w:highlight w:val="none"/>
        </w:rPr>
      </w:pPr>
    </w:p>
    <w:p w14:paraId="2C9FDF0B">
      <w:pPr>
        <w:pStyle w:val="11"/>
        <w:ind w:firstLine="560"/>
        <w:jc w:val="both"/>
        <w:rPr>
          <w:rFonts w:ascii="仿宋_GB2312" w:eastAsia="仿宋_GB2312" w:hAnsiTheme="minorHAnsi" w:cstheme="minorBidi"/>
          <w:sz w:val="28"/>
          <w:szCs w:val="22"/>
          <w:highlight w:val="none"/>
        </w:rPr>
      </w:pPr>
      <w:r>
        <w:rPr>
          <w:rFonts w:hint="eastAsia" w:ascii="仿宋_GB2312" w:eastAsia="仿宋_GB2312" w:hAnsiTheme="minorHAnsi" w:cstheme="minorBidi"/>
          <w:sz w:val="28"/>
          <w:szCs w:val="22"/>
          <w:highlight w:val="none"/>
        </w:rPr>
        <w:t>3、笔试成绩为两门笔试科目成绩之和，笔试成绩60分以上(含60分)者按笔试成绩进行排序确定进入面试人选，进入面试人数不超过接收人数的200%。</w:t>
      </w:r>
    </w:p>
    <w:p w14:paraId="0C3C84F0">
      <w:pPr>
        <w:pStyle w:val="11"/>
        <w:ind w:firstLine="560"/>
        <w:jc w:val="both"/>
        <w:rPr>
          <w:rFonts w:ascii="仿宋_GB2312" w:eastAsia="仿宋_GB2312" w:hAnsiTheme="minorHAnsi" w:cstheme="minorBidi"/>
          <w:sz w:val="28"/>
          <w:szCs w:val="22"/>
          <w:highlight w:val="none"/>
        </w:rPr>
      </w:pPr>
      <w:r>
        <w:rPr>
          <w:rFonts w:hint="eastAsia" w:ascii="仿宋_GB2312" w:eastAsia="仿宋_GB2312" w:hAnsiTheme="minorHAnsi" w:cstheme="minorBidi"/>
          <w:sz w:val="28"/>
          <w:szCs w:val="22"/>
          <w:highlight w:val="none"/>
        </w:rPr>
        <w:t>4、学院成立本科转专业面试工作小组，对进入面试学生进行考核评分，面试分值100分，面试成绩未到60分者不予接收。</w:t>
      </w:r>
    </w:p>
    <w:p w14:paraId="08C499CC">
      <w:pPr>
        <w:pStyle w:val="11"/>
        <w:ind w:firstLine="560"/>
        <w:jc w:val="both"/>
        <w:rPr>
          <w:rFonts w:ascii="仿宋_GB2312" w:eastAsia="仿宋_GB2312" w:hAnsiTheme="minorHAnsi" w:cstheme="minorBidi"/>
          <w:sz w:val="28"/>
          <w:szCs w:val="22"/>
          <w:highlight w:val="none"/>
        </w:rPr>
      </w:pPr>
      <w:r>
        <w:rPr>
          <w:rFonts w:hint="eastAsia" w:ascii="仿宋_GB2312" w:eastAsia="仿宋_GB2312" w:hAnsiTheme="minorHAnsi" w:cstheme="minorBidi"/>
          <w:sz w:val="28"/>
          <w:szCs w:val="22"/>
          <w:highlight w:val="none"/>
        </w:rPr>
        <w:t>5、接收成绩=笔试成绩*70%+面试成绩*30%；按接收成绩排序，结合当年接收转专业人数确定接收名单。</w:t>
      </w:r>
    </w:p>
    <w:p w14:paraId="794CD9D5">
      <w:pPr>
        <w:ind w:firstLine="560" w:firstLineChars="200"/>
        <w:rPr>
          <w:rFonts w:ascii="仿宋_GB2312" w:eastAsia="仿宋_GB2312"/>
          <w:sz w:val="28"/>
          <w:highlight w:val="none"/>
        </w:rPr>
      </w:pPr>
      <w:r>
        <w:rPr>
          <w:rFonts w:hint="eastAsia" w:ascii="仿宋_GB2312" w:eastAsia="仿宋_GB2312"/>
          <w:sz w:val="28"/>
          <w:highlight w:val="none"/>
        </w:rPr>
        <w:t>6、学院将在学院公告栏及学院主页进行公示，公示3日。若申请复议，请在公示期内联系我院教学办公室（范孙楼230）022-23501583。</w:t>
      </w:r>
    </w:p>
    <w:p w14:paraId="144DBF76">
      <w:pPr>
        <w:numPr>
          <w:ilvl w:val="0"/>
          <w:numId w:val="1"/>
        </w:numPr>
        <w:ind w:firstLine="640" w:firstLineChars="200"/>
        <w:rPr>
          <w:rFonts w:ascii="仿宋_GB2312" w:eastAsia="仿宋_GB2312"/>
          <w:b/>
          <w:bCs/>
          <w:sz w:val="28"/>
          <w:highlight w:val="none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highlight w:val="none"/>
        </w:rPr>
        <w:t>接收计划</w:t>
      </w:r>
    </w:p>
    <w:tbl>
      <w:tblPr>
        <w:tblStyle w:val="4"/>
        <w:tblW w:w="864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985"/>
        <w:gridCol w:w="2976"/>
        <w:gridCol w:w="1276"/>
      </w:tblGrid>
      <w:tr w14:paraId="4456B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center"/>
          </w:tcPr>
          <w:p w14:paraId="50198E80">
            <w:pPr>
              <w:rPr>
                <w:rFonts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</w:rPr>
              <w:t>接收专业</w:t>
            </w:r>
          </w:p>
          <w:p w14:paraId="7F7CB377">
            <w:pPr>
              <w:rPr>
                <w:rFonts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</w:rPr>
              <w:t>（含大类）</w:t>
            </w:r>
          </w:p>
        </w:tc>
        <w:tc>
          <w:tcPr>
            <w:tcW w:w="1985" w:type="dxa"/>
            <w:vAlign w:val="center"/>
          </w:tcPr>
          <w:p w14:paraId="6DFDDCCE">
            <w:pPr>
              <w:rPr>
                <w:rFonts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</w:rPr>
              <w:t>计划接收年级</w:t>
            </w:r>
          </w:p>
        </w:tc>
        <w:tc>
          <w:tcPr>
            <w:tcW w:w="2976" w:type="dxa"/>
            <w:vAlign w:val="center"/>
          </w:tcPr>
          <w:p w14:paraId="3F0CBF5A">
            <w:pPr>
              <w:rPr>
                <w:rFonts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</w:rPr>
              <w:t>计划接收人数（不同年级分别标注接收人数）</w:t>
            </w:r>
          </w:p>
        </w:tc>
        <w:tc>
          <w:tcPr>
            <w:tcW w:w="1276" w:type="dxa"/>
            <w:vAlign w:val="center"/>
          </w:tcPr>
          <w:p w14:paraId="6715A48D">
            <w:pPr>
              <w:rPr>
                <w:rFonts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</w:rPr>
              <w:t>备注</w:t>
            </w:r>
          </w:p>
        </w:tc>
      </w:tr>
      <w:tr w14:paraId="1F548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center"/>
          </w:tcPr>
          <w:p w14:paraId="0F002A81">
            <w:pPr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统计学类</w:t>
            </w:r>
          </w:p>
        </w:tc>
        <w:tc>
          <w:tcPr>
            <w:tcW w:w="1985" w:type="dxa"/>
            <w:vAlign w:val="center"/>
          </w:tcPr>
          <w:p w14:paraId="146B573B">
            <w:pPr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级</w:t>
            </w:r>
          </w:p>
        </w:tc>
        <w:tc>
          <w:tcPr>
            <w:tcW w:w="2976" w:type="dxa"/>
            <w:vAlign w:val="center"/>
          </w:tcPr>
          <w:p w14:paraId="74FE2708">
            <w:pPr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1276" w:type="dxa"/>
            <w:vAlign w:val="center"/>
          </w:tcPr>
          <w:p w14:paraId="552C4B60">
            <w:pPr>
              <w:ind w:firstLine="560" w:firstLineChars="200"/>
              <w:rPr>
                <w:rFonts w:ascii="仿宋_GB2312" w:eastAsia="仿宋_GB2312"/>
                <w:sz w:val="28"/>
                <w:highlight w:val="none"/>
              </w:rPr>
            </w:pPr>
          </w:p>
        </w:tc>
      </w:tr>
      <w:tr w14:paraId="31746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center"/>
          </w:tcPr>
          <w:p w14:paraId="457F9011">
            <w:pPr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统计学类</w:t>
            </w:r>
          </w:p>
        </w:tc>
        <w:tc>
          <w:tcPr>
            <w:tcW w:w="1985" w:type="dxa"/>
            <w:vAlign w:val="center"/>
          </w:tcPr>
          <w:p w14:paraId="49C6AA2D">
            <w:pPr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2</w:t>
            </w: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02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级及以上</w:t>
            </w:r>
          </w:p>
        </w:tc>
        <w:tc>
          <w:tcPr>
            <w:tcW w:w="2976" w:type="dxa"/>
            <w:vAlign w:val="center"/>
          </w:tcPr>
          <w:p w14:paraId="657B5D8E">
            <w:pPr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276" w:type="dxa"/>
            <w:vAlign w:val="center"/>
          </w:tcPr>
          <w:p w14:paraId="48C10F4A">
            <w:pPr>
              <w:ind w:firstLine="560" w:firstLineChars="200"/>
              <w:rPr>
                <w:rFonts w:ascii="仿宋_GB2312" w:eastAsia="仿宋_GB2312"/>
                <w:sz w:val="28"/>
                <w:highlight w:val="none"/>
              </w:rPr>
            </w:pPr>
          </w:p>
        </w:tc>
      </w:tr>
    </w:tbl>
    <w:p w14:paraId="09489411">
      <w:pPr>
        <w:rPr>
          <w:rFonts w:ascii="仿宋_GB2312" w:eastAsia="仿宋_GB2312"/>
          <w:b/>
          <w:bCs/>
          <w:sz w:val="28"/>
          <w:highlight w:val="none"/>
        </w:rPr>
      </w:pPr>
    </w:p>
    <w:p w14:paraId="40650959">
      <w:pPr>
        <w:numPr>
          <w:ilvl w:val="0"/>
          <w:numId w:val="1"/>
        </w:numPr>
        <w:ind w:firstLine="562" w:firstLineChars="200"/>
        <w:rPr>
          <w:rFonts w:ascii="仿宋_GB2312" w:eastAsia="仿宋_GB2312"/>
          <w:b/>
          <w:bCs/>
          <w:sz w:val="28"/>
          <w:highlight w:val="none"/>
        </w:rPr>
      </w:pPr>
      <w:r>
        <w:rPr>
          <w:rFonts w:hint="eastAsia" w:ascii="仿宋_GB2312" w:eastAsia="仿宋_GB2312"/>
          <w:b/>
          <w:bCs/>
          <w:sz w:val="28"/>
          <w:highlight w:val="none"/>
        </w:rPr>
        <w:t>争议情况处理及解释权归属</w:t>
      </w:r>
    </w:p>
    <w:p w14:paraId="7F246582">
      <w:pPr>
        <w:ind w:firstLine="560" w:firstLineChars="200"/>
        <w:rPr>
          <w:rFonts w:ascii="仿宋_GB2312" w:eastAsia="仿宋_GB2312"/>
          <w:sz w:val="28"/>
          <w:highlight w:val="none"/>
        </w:rPr>
      </w:pPr>
      <w:r>
        <w:rPr>
          <w:rFonts w:hint="eastAsia" w:ascii="仿宋_GB2312" w:eastAsia="仿宋_GB2312"/>
          <w:sz w:val="28"/>
          <w:highlight w:val="none"/>
        </w:rPr>
        <w:t>本细则解释权归属统计与数据科学学院。</w:t>
      </w:r>
    </w:p>
    <w:p w14:paraId="325725B0">
      <w:pPr>
        <w:ind w:firstLine="560" w:firstLineChars="200"/>
        <w:jc w:val="right"/>
        <w:rPr>
          <w:rFonts w:ascii="仿宋_GB2312" w:eastAsia="仿宋_GB2312"/>
          <w:sz w:val="28"/>
          <w:highlight w:val="none"/>
        </w:rPr>
      </w:pPr>
      <w:r>
        <w:rPr>
          <w:rFonts w:hint="eastAsia" w:ascii="仿宋_GB2312" w:eastAsia="仿宋_GB2312"/>
          <w:sz w:val="28"/>
          <w:highlight w:val="none"/>
        </w:rPr>
        <w:t>统计与数据科学学院</w:t>
      </w:r>
    </w:p>
    <w:p w14:paraId="544D9559">
      <w:pPr>
        <w:ind w:firstLine="560" w:firstLineChars="200"/>
        <w:jc w:val="right"/>
        <w:rPr>
          <w:rFonts w:ascii="方正小标宋简体" w:hAnsi="方正小标宋简体" w:eastAsia="方正小标宋简体" w:cs="方正小标宋简体"/>
          <w:sz w:val="32"/>
          <w:szCs w:val="32"/>
          <w:highlight w:val="none"/>
        </w:rPr>
      </w:pPr>
      <w:r>
        <w:rPr>
          <w:rFonts w:hint="eastAsia" w:ascii="仿宋_GB2312" w:eastAsia="仿宋_GB2312"/>
          <w:sz w:val="28"/>
          <w:highlight w:val="none"/>
        </w:rPr>
        <w:t>202</w:t>
      </w:r>
      <w:r>
        <w:rPr>
          <w:rFonts w:hint="eastAsia" w:ascii="仿宋_GB2312" w:eastAsia="仿宋_GB2312"/>
          <w:sz w:val="28"/>
          <w:highlight w:val="none"/>
          <w:lang w:val="en-US" w:eastAsia="zh-CN"/>
        </w:rPr>
        <w:t>6</w:t>
      </w:r>
      <w:r>
        <w:rPr>
          <w:rFonts w:hint="eastAsia" w:ascii="仿宋_GB2312" w:eastAsia="仿宋_GB2312"/>
          <w:sz w:val="28"/>
          <w:highlight w:val="none"/>
        </w:rPr>
        <w:t>年</w:t>
      </w:r>
      <w:r>
        <w:rPr>
          <w:rFonts w:ascii="仿宋_GB2312" w:eastAsia="仿宋_GB2312"/>
          <w:sz w:val="28"/>
          <w:highlight w:val="none"/>
        </w:rPr>
        <w:t>3</w:t>
      </w:r>
      <w:r>
        <w:rPr>
          <w:rFonts w:hint="eastAsia" w:ascii="仿宋_GB2312" w:eastAsia="仿宋_GB2312"/>
          <w:sz w:val="28"/>
          <w:highlight w:val="none"/>
        </w:rPr>
        <w:t>月</w:t>
      </w:r>
      <w:r>
        <w:rPr>
          <w:rFonts w:ascii="仿宋_GB2312" w:eastAsia="仿宋_GB2312"/>
          <w:sz w:val="28"/>
          <w:highlight w:val="none"/>
        </w:rPr>
        <w:t>3</w:t>
      </w:r>
      <w:r>
        <w:rPr>
          <w:rFonts w:hint="eastAsia" w:ascii="仿宋_GB2312" w:eastAsia="仿宋_GB2312"/>
          <w:sz w:val="28"/>
          <w:highlight w:val="none"/>
          <w:lang w:val="en-US" w:eastAsia="zh-CN"/>
        </w:rPr>
        <w:t>0</w:t>
      </w:r>
      <w:r>
        <w:rPr>
          <w:rFonts w:hint="eastAsia" w:ascii="仿宋_GB2312" w:eastAsia="仿宋_GB2312"/>
          <w:sz w:val="28"/>
          <w:highlight w:val="none"/>
        </w:rPr>
        <w:t>日</w:t>
      </w:r>
    </w:p>
    <w:sectPr>
      <w:footerReference r:id="rId3" w:type="default"/>
      <w:pgSz w:w="11906" w:h="16838"/>
      <w:pgMar w:top="1644" w:right="1417" w:bottom="1928" w:left="1417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BF5B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2BBAFB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LW7l30AAAAAIBAAAPAAAAAAAAAAEAIAAAACIAAABkcnMvZG93&#10;bnJldi54bWxQSwECFAAUAAAACACHTuJA3kI7qQ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2BBAFB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A5D80D"/>
    <w:multiLevelType w:val="singleLevel"/>
    <w:tmpl w:val="FCA5D80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A74D061"/>
    <w:multiLevelType w:val="singleLevel"/>
    <w:tmpl w:val="5A74D0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kYzg0NDAyNDgyN2I3ZjhkNDVmMDIyOTYwZThlMDIifQ=="/>
    <w:docVar w:name="KSO_WPS_MARK_KEY" w:val="a0d9305e-5df8-4778-9459-98c691138a56"/>
  </w:docVars>
  <w:rsids>
    <w:rsidRoot w:val="00EB666E"/>
    <w:rsid w:val="00095253"/>
    <w:rsid w:val="00140855"/>
    <w:rsid w:val="001850F4"/>
    <w:rsid w:val="00187454"/>
    <w:rsid w:val="001A57D6"/>
    <w:rsid w:val="001F4820"/>
    <w:rsid w:val="002B5E96"/>
    <w:rsid w:val="003F530B"/>
    <w:rsid w:val="00446BB9"/>
    <w:rsid w:val="0059584A"/>
    <w:rsid w:val="005B67D2"/>
    <w:rsid w:val="00692E4B"/>
    <w:rsid w:val="00763C57"/>
    <w:rsid w:val="007C7BE4"/>
    <w:rsid w:val="00871468"/>
    <w:rsid w:val="008B024C"/>
    <w:rsid w:val="008B3779"/>
    <w:rsid w:val="008F5107"/>
    <w:rsid w:val="009513AD"/>
    <w:rsid w:val="00AA35FC"/>
    <w:rsid w:val="00AD6194"/>
    <w:rsid w:val="00AE7982"/>
    <w:rsid w:val="00C720CE"/>
    <w:rsid w:val="00CA363F"/>
    <w:rsid w:val="00CD5839"/>
    <w:rsid w:val="00CF5144"/>
    <w:rsid w:val="00D20723"/>
    <w:rsid w:val="00DA15AE"/>
    <w:rsid w:val="00DC32C5"/>
    <w:rsid w:val="00E4188E"/>
    <w:rsid w:val="00EA6CD7"/>
    <w:rsid w:val="00EB4A54"/>
    <w:rsid w:val="00EB666E"/>
    <w:rsid w:val="00F95361"/>
    <w:rsid w:val="00FE1A04"/>
    <w:rsid w:val="03DE66BC"/>
    <w:rsid w:val="04CC3ED7"/>
    <w:rsid w:val="05FB41E5"/>
    <w:rsid w:val="0F4F1BEE"/>
    <w:rsid w:val="153B2E68"/>
    <w:rsid w:val="155319A5"/>
    <w:rsid w:val="1AF51E56"/>
    <w:rsid w:val="1C4C63CA"/>
    <w:rsid w:val="1E811661"/>
    <w:rsid w:val="1E95596F"/>
    <w:rsid w:val="25825D1E"/>
    <w:rsid w:val="27B04C39"/>
    <w:rsid w:val="27D54C86"/>
    <w:rsid w:val="28C31AA5"/>
    <w:rsid w:val="2B592271"/>
    <w:rsid w:val="2C077613"/>
    <w:rsid w:val="2D0619FA"/>
    <w:rsid w:val="2DEC6232"/>
    <w:rsid w:val="2E9A4CAC"/>
    <w:rsid w:val="2F543295"/>
    <w:rsid w:val="2F8A4396"/>
    <w:rsid w:val="32676302"/>
    <w:rsid w:val="3ED5703A"/>
    <w:rsid w:val="40145F57"/>
    <w:rsid w:val="4268361D"/>
    <w:rsid w:val="43D33209"/>
    <w:rsid w:val="44EC1F6F"/>
    <w:rsid w:val="473A6C60"/>
    <w:rsid w:val="47B410D2"/>
    <w:rsid w:val="48971226"/>
    <w:rsid w:val="49D521F1"/>
    <w:rsid w:val="4A994C87"/>
    <w:rsid w:val="4B5769A7"/>
    <w:rsid w:val="4C9E1EC2"/>
    <w:rsid w:val="501D372D"/>
    <w:rsid w:val="50B235C2"/>
    <w:rsid w:val="564B4DF3"/>
    <w:rsid w:val="583E19EF"/>
    <w:rsid w:val="5B6E468A"/>
    <w:rsid w:val="5BCE2B91"/>
    <w:rsid w:val="5C2B0A9A"/>
    <w:rsid w:val="5C342A87"/>
    <w:rsid w:val="5C7066B7"/>
    <w:rsid w:val="5E902606"/>
    <w:rsid w:val="5FDC14FE"/>
    <w:rsid w:val="61F36C32"/>
    <w:rsid w:val="63144210"/>
    <w:rsid w:val="651A59CF"/>
    <w:rsid w:val="65FC083C"/>
    <w:rsid w:val="666F3E82"/>
    <w:rsid w:val="6AE1008D"/>
    <w:rsid w:val="6B55614D"/>
    <w:rsid w:val="6BCC0461"/>
    <w:rsid w:val="6D1001B6"/>
    <w:rsid w:val="6D995167"/>
    <w:rsid w:val="6EF367A6"/>
    <w:rsid w:val="6F7F3552"/>
    <w:rsid w:val="7300051C"/>
    <w:rsid w:val="73E10605"/>
    <w:rsid w:val="73E41E26"/>
    <w:rsid w:val="76B70CFE"/>
    <w:rsid w:val="78D56B94"/>
    <w:rsid w:val="7A4F022C"/>
    <w:rsid w:val="7DA7486E"/>
    <w:rsid w:val="7E8E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细则正文"/>
    <w:basedOn w:val="1"/>
    <w:autoRedefine/>
    <w:qFormat/>
    <w:uiPriority w:val="0"/>
    <w:pPr>
      <w:ind w:firstLine="640" w:firstLineChars="200"/>
      <w:jc w:val="left"/>
    </w:pPr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888</Words>
  <Characters>953</Characters>
  <Lines>10</Lines>
  <Paragraphs>2</Paragraphs>
  <TotalTime>2</TotalTime>
  <ScaleCrop>false</ScaleCrop>
  <LinksUpToDate>false</LinksUpToDate>
  <CharactersWithSpaces>955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2023-04-04T06:41:00Z</dcterms:created>
  <dc:creator>闫旭</dc:creator>
  <cp:lastModifiedBy>周晓英</cp:lastModifiedBy>
  <cp:lastPrinted>2023-04-19T08:50:00Z</cp:lastPrinted>
  <dcterms:modified xsi:type="dcterms:W3CDTF">2026-03-25T01:13:02Z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13ACD568116E4560AFE76E10E5083931</vt:lpwstr>
  </property>
  <property fmtid="{D5CDD505-2E9C-101B-9397-08002B2CF9AE}" pid="4" name="KSOTemplateDocerSaveRecord">
    <vt:lpwstr>eyJoZGlkIjoiODlmZWQ1N2M0NmNlNjc4ODA4NmI4MTliOTBjYjEyNDkiLCJ1c2VySWQiOiIzNjAyMzg2NDIifQ==</vt:lpwstr>
  </property>
</Properties>
</file>