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A0924">
      <w:pPr>
        <w:pStyle w:val="18"/>
        <w:keepNext w:val="0"/>
        <w:keepLines w:val="0"/>
        <w:pageBreakBefore w:val="0"/>
        <w:widowControl w:val="0"/>
        <w:kinsoku/>
        <w:wordWrap/>
        <w:overflowPunct/>
        <w:topLinePunct w:val="0"/>
        <w:autoSpaceDE/>
        <w:autoSpaceDN/>
        <w:bidi w:val="0"/>
        <w:adjustRightInd/>
        <w:spacing w:line="520" w:lineRule="exact"/>
        <w:ind w:firstLine="880" w:firstLineChars="200"/>
        <w:textAlignment w:val="auto"/>
        <w:rPr>
          <w:color w:val="auto"/>
          <w:sz w:val="44"/>
          <w:szCs w:val="44"/>
          <w:highlight w:val="none"/>
        </w:rPr>
      </w:pPr>
      <w:r>
        <w:rPr>
          <w:color w:val="auto"/>
          <w:highlight w:val="none"/>
        </w:rPr>
        <w:t xml:space="preserve"> </w:t>
      </w:r>
      <w:r>
        <w:rPr>
          <w:color w:val="auto"/>
          <w:sz w:val="32"/>
          <w:szCs w:val="32"/>
          <w:highlight w:val="none"/>
        </w:rPr>
        <w:t xml:space="preserve"> </w:t>
      </w:r>
      <w:r>
        <w:rPr>
          <w:color w:val="auto"/>
          <w:sz w:val="44"/>
          <w:szCs w:val="44"/>
          <w:highlight w:val="none"/>
        </w:rPr>
        <w:t xml:space="preserve"> 经济学院</w:t>
      </w:r>
      <w:r>
        <w:rPr>
          <w:rFonts w:hint="eastAsia"/>
          <w:color w:val="auto"/>
          <w:sz w:val="44"/>
          <w:szCs w:val="44"/>
          <w:highlight w:val="none"/>
        </w:rPr>
        <w:t>2</w:t>
      </w:r>
      <w:r>
        <w:rPr>
          <w:color w:val="auto"/>
          <w:sz w:val="44"/>
          <w:szCs w:val="44"/>
          <w:highlight w:val="none"/>
        </w:rPr>
        <w:t>02</w:t>
      </w:r>
      <w:r>
        <w:rPr>
          <w:rFonts w:hint="eastAsia"/>
          <w:color w:val="auto"/>
          <w:sz w:val="44"/>
          <w:szCs w:val="44"/>
          <w:highlight w:val="none"/>
          <w:lang w:val="en-US" w:eastAsia="zh-CN"/>
        </w:rPr>
        <w:t>6</w:t>
      </w:r>
      <w:r>
        <w:rPr>
          <w:rFonts w:hint="default" w:ascii="方正小标宋简体" w:hAnsi="方正小标宋简体" w:eastAsia="方正小标宋简体" w:cs="方正小标宋简体"/>
          <w:color w:val="auto"/>
          <w:sz w:val="44"/>
          <w:szCs w:val="44"/>
          <w:highlight w:val="none"/>
        </w:rPr>
        <w:t>年</w:t>
      </w:r>
      <w:r>
        <w:rPr>
          <w:color w:val="auto"/>
          <w:sz w:val="44"/>
          <w:szCs w:val="44"/>
          <w:highlight w:val="none"/>
        </w:rPr>
        <w:t>本科生转专业细则</w:t>
      </w:r>
    </w:p>
    <w:p w14:paraId="084246DB">
      <w:pPr>
        <w:pStyle w:val="18"/>
        <w:keepNext w:val="0"/>
        <w:keepLines w:val="0"/>
        <w:pageBreakBefore w:val="0"/>
        <w:widowControl w:val="0"/>
        <w:kinsoku/>
        <w:wordWrap/>
        <w:overflowPunct/>
        <w:topLinePunct w:val="0"/>
        <w:autoSpaceDE/>
        <w:autoSpaceDN/>
        <w:bidi w:val="0"/>
        <w:adjustRightInd/>
        <w:spacing w:line="520" w:lineRule="exact"/>
        <w:ind w:firstLine="880" w:firstLineChars="200"/>
        <w:textAlignment w:val="auto"/>
        <w:rPr>
          <w:rFonts w:ascii="Times New Roman" w:hAnsi="Times New Roman" w:eastAsia="Times New Roman" w:cs="Times New Roman"/>
          <w:color w:val="auto"/>
          <w:sz w:val="44"/>
          <w:szCs w:val="44"/>
          <w:highlight w:val="none"/>
        </w:rPr>
      </w:pPr>
      <w:r>
        <w:rPr>
          <w:rFonts w:hint="default" w:ascii="方正小标宋简体" w:hAnsi="方正小标宋简体" w:eastAsia="方正小标宋简体" w:cs="方正小标宋简体"/>
          <w:color w:val="auto"/>
          <w:sz w:val="44"/>
          <w:szCs w:val="44"/>
          <w:highlight w:val="none"/>
        </w:rPr>
        <w:t>及接收计划</w:t>
      </w:r>
    </w:p>
    <w:p w14:paraId="7C5E084B">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color w:val="auto"/>
          <w:spacing w:val="20"/>
          <w:sz w:val="24"/>
          <w:szCs w:val="24"/>
          <w:highlight w:val="none"/>
        </w:rPr>
      </w:pPr>
    </w:p>
    <w:p w14:paraId="4EDD43E5">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为做好经济学院本科学生转专业工作，根据《南开大学本科学生学则》</w:t>
      </w:r>
      <w:r>
        <w:rPr>
          <w:rFonts w:hint="eastAsia"/>
          <w:color w:val="auto"/>
          <w:highlight w:val="none"/>
          <w:lang w:val="en-US" w:eastAsia="zh-CN"/>
        </w:rPr>
        <w:t>和《南开大学本科生转专业管理办法》</w:t>
      </w:r>
      <w:r>
        <w:rPr>
          <w:rFonts w:hint="eastAsia"/>
          <w:color w:val="auto"/>
          <w:highlight w:val="none"/>
        </w:rPr>
        <w:t>的相关规定，经经济学院</w:t>
      </w:r>
      <w:r>
        <w:rPr>
          <w:color w:val="auto"/>
          <w:highlight w:val="none"/>
        </w:rPr>
        <w:t>党政联席会</w:t>
      </w:r>
      <w:r>
        <w:rPr>
          <w:rFonts w:hint="eastAsia"/>
          <w:color w:val="auto"/>
          <w:highlight w:val="none"/>
        </w:rPr>
        <w:t>讨论通过，制订本细则。</w:t>
      </w:r>
    </w:p>
    <w:p w14:paraId="33507C13">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color w:val="auto"/>
          <w:highlight w:val="none"/>
        </w:rPr>
      </w:pPr>
      <w:r>
        <w:rPr>
          <w:rFonts w:hint="eastAsia"/>
          <w:color w:val="auto"/>
          <w:highlight w:val="none"/>
          <w:lang w:val="en-US" w:eastAsia="zh-CN"/>
        </w:rPr>
        <w:t>一、</w:t>
      </w:r>
      <w:r>
        <w:rPr>
          <w:rFonts w:hint="eastAsia"/>
          <w:color w:val="auto"/>
          <w:highlight w:val="none"/>
        </w:rPr>
        <w:t>转专业工作领导小组</w:t>
      </w:r>
    </w:p>
    <w:p w14:paraId="3436B83E">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ascii="仿宋" w:hAnsi="仿宋" w:eastAsia="仿宋"/>
          <w:color w:val="auto"/>
          <w:highlight w:val="none"/>
        </w:rPr>
      </w:pPr>
      <w:r>
        <w:rPr>
          <w:rFonts w:hint="eastAsia" w:ascii="仿宋" w:hAnsi="仿宋" w:eastAsia="仿宋"/>
          <w:color w:val="auto"/>
          <w:highlight w:val="none"/>
        </w:rPr>
        <w:t>经济学院成立转专业领导小组，全面负责本学院的转专业工作。领导小组</w:t>
      </w:r>
      <w:r>
        <w:rPr>
          <w:rFonts w:ascii="仿宋" w:hAnsi="仿宋" w:eastAsia="仿宋"/>
          <w:color w:val="auto"/>
          <w:highlight w:val="none"/>
        </w:rPr>
        <w:t>名单</w:t>
      </w:r>
      <w:r>
        <w:rPr>
          <w:rFonts w:hint="eastAsia" w:ascii="仿宋" w:hAnsi="仿宋" w:eastAsia="仿宋"/>
          <w:color w:val="auto"/>
          <w:highlight w:val="none"/>
          <w:lang w:val="en-US" w:eastAsia="zh-CN"/>
        </w:rPr>
        <w:t>为，组长：李俊青，副组长：</w:t>
      </w:r>
      <w:r>
        <w:rPr>
          <w:rFonts w:hint="eastAsia" w:ascii="仿宋" w:hAnsi="仿宋" w:eastAsia="仿宋"/>
          <w:color w:val="auto"/>
          <w:highlight w:val="none"/>
        </w:rPr>
        <w:t>胡昭玲</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其他成员：乔晓楠</w:t>
      </w:r>
      <w:r>
        <w:rPr>
          <w:rFonts w:hint="eastAsia" w:ascii="仿宋" w:hAnsi="仿宋" w:eastAsia="仿宋"/>
          <w:color w:val="auto"/>
          <w:highlight w:val="none"/>
        </w:rPr>
        <w:t>、刘程、王晓文、丁宏</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林姿含</w:t>
      </w:r>
      <w:r>
        <w:rPr>
          <w:rFonts w:hint="eastAsia" w:ascii="仿宋" w:hAnsi="仿宋" w:eastAsia="仿宋"/>
          <w:color w:val="auto"/>
          <w:highlight w:val="none"/>
        </w:rPr>
        <w:t>。</w:t>
      </w:r>
    </w:p>
    <w:p w14:paraId="16E63E99">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二、转出条件</w:t>
      </w:r>
    </w:p>
    <w:p w14:paraId="693497B3">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olor w:val="auto"/>
          <w:highlight w:val="none"/>
        </w:rPr>
      </w:pPr>
      <w:r>
        <w:rPr>
          <w:color w:val="auto"/>
          <w:highlight w:val="none"/>
        </w:rPr>
        <w:t>除</w:t>
      </w:r>
      <w:r>
        <w:rPr>
          <w:rFonts w:hint="eastAsia"/>
          <w:color w:val="auto"/>
          <w:highlight w:val="none"/>
        </w:rPr>
        <w:t>《南开大学本科</w:t>
      </w:r>
      <w:r>
        <w:rPr>
          <w:rFonts w:hint="eastAsia"/>
          <w:color w:val="auto"/>
          <w:highlight w:val="none"/>
          <w:lang w:val="en-US" w:eastAsia="zh-CN"/>
        </w:rPr>
        <w:t>生</w:t>
      </w:r>
      <w:r>
        <w:rPr>
          <w:rFonts w:hint="eastAsia"/>
          <w:color w:val="auto"/>
          <w:highlight w:val="none"/>
        </w:rPr>
        <w:t>转专业管理办法》规定的不允许转出的情形外，学院学生转出无其他限制。</w:t>
      </w:r>
    </w:p>
    <w:p w14:paraId="378691B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注：伯苓班学生如打算转出，须退出伯苓班，进入相应大类（或专业）的普通班级，而后依照本细则执行。</w:t>
      </w:r>
    </w:p>
    <w:p w14:paraId="41C2F77E">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三、转入工作流程</w:t>
      </w:r>
    </w:p>
    <w:p w14:paraId="59D3CCCF">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1.</w:t>
      </w:r>
      <w:r>
        <w:rPr>
          <w:rFonts w:hint="eastAsia"/>
          <w:color w:val="auto"/>
          <w:highlight w:val="none"/>
        </w:rPr>
        <w:t>在学校下达本年度转专业工作通知后，学院根据各专业的具体情况在学院主页公布当年各专业接收转入的学生名额，以及当年学院专业转入的实施细则。</w:t>
      </w:r>
    </w:p>
    <w:p w14:paraId="68EA1269">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2.</w:t>
      </w:r>
      <w:r>
        <w:rPr>
          <w:rFonts w:hint="eastAsia"/>
          <w:color w:val="auto"/>
          <w:highlight w:val="none"/>
        </w:rPr>
        <w:t>申请转入经济学院的学生在教育管理信息系统提交转专业申请。</w:t>
      </w:r>
    </w:p>
    <w:p w14:paraId="5FF0CE06">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3.</w:t>
      </w:r>
      <w:r>
        <w:rPr>
          <w:rFonts w:hint="eastAsia"/>
          <w:color w:val="auto"/>
          <w:highlight w:val="none"/>
        </w:rPr>
        <w:t>学院</w:t>
      </w:r>
      <w:r>
        <w:rPr>
          <w:color w:val="auto"/>
          <w:highlight w:val="none"/>
        </w:rPr>
        <w:t>转专业工作领导小组</w:t>
      </w:r>
      <w:r>
        <w:rPr>
          <w:rFonts w:hint="eastAsia"/>
          <w:color w:val="auto"/>
          <w:highlight w:val="none"/>
        </w:rPr>
        <w:t>组织对申请转入学生进行考核，根据考核结果对学生综合成绩及排名在经济学院官方网站</w:t>
      </w:r>
      <w:r>
        <w:rPr>
          <w:color w:val="auto"/>
          <w:highlight w:val="none"/>
        </w:rPr>
        <w:t>公示1天。</w:t>
      </w:r>
    </w:p>
    <w:p w14:paraId="0AAFFE1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720" w:firstLineChars="200"/>
        <w:textAlignment w:val="auto"/>
        <w:rPr>
          <w:rFonts w:cs="宋体"/>
          <w:color w:val="auto"/>
          <w:spacing w:val="20"/>
          <w:highlight w:val="none"/>
        </w:rPr>
      </w:pPr>
      <w:r>
        <w:rPr>
          <w:rFonts w:hint="eastAsia" w:cs="宋体"/>
          <w:color w:val="auto"/>
          <w:spacing w:val="20"/>
          <w:highlight w:val="none"/>
          <w:lang w:val="en-US" w:eastAsia="zh-CN"/>
        </w:rPr>
        <w:t>4.</w:t>
      </w:r>
      <w:r>
        <w:rPr>
          <w:rFonts w:hint="eastAsia" w:cs="宋体"/>
          <w:color w:val="auto"/>
          <w:spacing w:val="20"/>
          <w:highlight w:val="none"/>
        </w:rPr>
        <w:t>公示期满后，学院向校教务部报送批准拟转入名单，填写转入学院意见。</w:t>
      </w:r>
    </w:p>
    <w:p w14:paraId="17D60F7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720" w:firstLineChars="200"/>
        <w:textAlignment w:val="auto"/>
        <w:rPr>
          <w:rFonts w:cs="宋体"/>
          <w:color w:val="auto"/>
          <w:spacing w:val="20"/>
          <w:highlight w:val="none"/>
        </w:rPr>
      </w:pPr>
      <w:r>
        <w:rPr>
          <w:rFonts w:hint="eastAsia" w:cs="宋体"/>
          <w:color w:val="auto"/>
          <w:spacing w:val="20"/>
          <w:highlight w:val="none"/>
          <w:lang w:val="en-US" w:eastAsia="zh-CN"/>
        </w:rPr>
        <w:t>5.</w:t>
      </w:r>
      <w:r>
        <w:rPr>
          <w:rFonts w:hint="eastAsia" w:cs="宋体"/>
          <w:color w:val="auto"/>
          <w:spacing w:val="20"/>
          <w:highlight w:val="none"/>
        </w:rPr>
        <w:t>在获得教务部批准后，由学院本科教学办公室办理相关手续。</w:t>
      </w:r>
    </w:p>
    <w:p w14:paraId="3598CB29">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四、转入基本条件</w:t>
      </w:r>
    </w:p>
    <w:p w14:paraId="6DB562CC">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color w:val="FF0000"/>
          <w:highlight w:val="none"/>
          <w:lang w:val="en-US" w:eastAsia="zh-CN"/>
        </w:rPr>
      </w:pPr>
      <w:r>
        <w:rPr>
          <w:rFonts w:hint="eastAsia"/>
          <w:color w:val="auto"/>
          <w:highlight w:val="none"/>
        </w:rPr>
        <w:t>经济学院接</w:t>
      </w:r>
      <w:r>
        <w:rPr>
          <w:color w:val="auto"/>
          <w:highlight w:val="none"/>
        </w:rPr>
        <w:t>收</w:t>
      </w:r>
      <w:r>
        <w:rPr>
          <w:rFonts w:hint="eastAsia"/>
          <w:color w:val="auto"/>
          <w:highlight w:val="none"/>
        </w:rPr>
        <w:t>转入学生，应具备以下基本条件：（</w:t>
      </w:r>
      <w:r>
        <w:rPr>
          <w:color w:val="auto"/>
          <w:highlight w:val="none"/>
        </w:rPr>
        <w:t>1）思想品德好,无违规违纪现象；（2）在原专业学习期间，数学、英语成绩</w:t>
      </w:r>
      <w:r>
        <w:rPr>
          <w:rFonts w:hint="eastAsia"/>
          <w:color w:val="auto"/>
          <w:highlight w:val="none"/>
        </w:rPr>
        <w:t>绩点达到3</w:t>
      </w:r>
      <w:r>
        <w:rPr>
          <w:color w:val="auto"/>
          <w:highlight w:val="none"/>
        </w:rPr>
        <w:t>.0</w:t>
      </w:r>
      <w:r>
        <w:rPr>
          <w:rFonts w:hint="eastAsia"/>
          <w:color w:val="auto"/>
          <w:highlight w:val="none"/>
        </w:rPr>
        <w:t>；（</w:t>
      </w:r>
      <w:r>
        <w:rPr>
          <w:color w:val="auto"/>
          <w:highlight w:val="none"/>
        </w:rPr>
        <w:t>3）</w:t>
      </w:r>
      <w:r>
        <w:rPr>
          <w:rFonts w:hint="eastAsia"/>
          <w:color w:val="auto"/>
          <w:highlight w:val="none"/>
        </w:rPr>
        <w:t>原专业所有科目（通识选修课除外）全部及格。</w:t>
      </w:r>
      <w:r>
        <w:rPr>
          <w:rFonts w:hint="eastAsia"/>
          <w:color w:val="auto"/>
          <w:highlight w:val="none"/>
        </w:rPr>
        <w:br w:type="textWrapping"/>
      </w:r>
    </w:p>
    <w:p w14:paraId="38C85B00">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五、考核方式</w:t>
      </w:r>
    </w:p>
    <w:p w14:paraId="57C4D6E1">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专业转入考核包括笔试、面试两部分。</w:t>
      </w:r>
    </w:p>
    <w:p w14:paraId="21EBA2E0">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1.</w:t>
      </w:r>
      <w:r>
        <w:rPr>
          <w:rFonts w:hint="eastAsia"/>
          <w:color w:val="auto"/>
          <w:highlight w:val="none"/>
        </w:rPr>
        <w:t>笔试：包括英语（满分</w:t>
      </w:r>
      <w:r>
        <w:rPr>
          <w:color w:val="auto"/>
          <w:highlight w:val="none"/>
        </w:rPr>
        <w:t>100</w:t>
      </w:r>
      <w:r>
        <w:rPr>
          <w:rFonts w:hint="eastAsia"/>
          <w:color w:val="auto"/>
          <w:highlight w:val="none"/>
        </w:rPr>
        <w:t>分）、数学（满分</w:t>
      </w:r>
      <w:r>
        <w:rPr>
          <w:color w:val="auto"/>
          <w:highlight w:val="none"/>
        </w:rPr>
        <w:t>100</w:t>
      </w:r>
      <w:r>
        <w:rPr>
          <w:rFonts w:hint="eastAsia"/>
          <w:color w:val="auto"/>
          <w:highlight w:val="none"/>
        </w:rPr>
        <w:t>分），共两门。其中，</w:t>
      </w:r>
      <w:r>
        <w:rPr>
          <w:rFonts w:hint="eastAsia"/>
          <w:color w:val="auto"/>
          <w:highlight w:val="none"/>
          <w:lang w:val="en-US" w:eastAsia="zh-CN"/>
        </w:rPr>
        <w:t>大一年级</w:t>
      </w:r>
      <w:r>
        <w:rPr>
          <w:rFonts w:hint="eastAsia"/>
          <w:color w:val="auto"/>
          <w:highlight w:val="none"/>
        </w:rPr>
        <w:t>数学笔试的范围主要为经济管理类数学第一学期的教学内容</w:t>
      </w:r>
      <w:r>
        <w:rPr>
          <w:rFonts w:hint="eastAsia"/>
          <w:color w:val="auto"/>
          <w:highlight w:val="none"/>
          <w:lang w:eastAsia="zh-CN"/>
        </w:rPr>
        <w:t>，</w:t>
      </w:r>
      <w:r>
        <w:rPr>
          <w:rFonts w:hint="eastAsia"/>
          <w:color w:val="auto"/>
          <w:highlight w:val="none"/>
          <w:lang w:val="en-US" w:eastAsia="zh-CN"/>
        </w:rPr>
        <w:t>大二年级及以上数学</w:t>
      </w:r>
      <w:r>
        <w:rPr>
          <w:rFonts w:hint="eastAsia"/>
          <w:color w:val="auto"/>
          <w:highlight w:val="none"/>
        </w:rPr>
        <w:t>笔试的范围主要为经济管理类数学</w:t>
      </w:r>
      <w:r>
        <w:rPr>
          <w:rFonts w:hint="eastAsia"/>
          <w:color w:val="auto"/>
          <w:highlight w:val="none"/>
          <w:lang w:val="en-US" w:eastAsia="zh-CN"/>
        </w:rPr>
        <w:t>对应</w:t>
      </w:r>
      <w:r>
        <w:rPr>
          <w:rFonts w:hint="eastAsia"/>
          <w:color w:val="auto"/>
          <w:highlight w:val="none"/>
        </w:rPr>
        <w:t>学期的教学内容；英语笔试为水平测试。两门课程考试时长均为1</w:t>
      </w:r>
      <w:r>
        <w:rPr>
          <w:color w:val="auto"/>
          <w:highlight w:val="none"/>
        </w:rPr>
        <w:t>00</w:t>
      </w:r>
      <w:r>
        <w:rPr>
          <w:rFonts w:hint="eastAsia"/>
          <w:color w:val="auto"/>
          <w:highlight w:val="none"/>
        </w:rPr>
        <w:t>分钟。</w:t>
      </w:r>
    </w:p>
    <w:p w14:paraId="4ED5AA91">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2.</w:t>
      </w:r>
      <w:r>
        <w:rPr>
          <w:rFonts w:hint="eastAsia"/>
          <w:color w:val="auto"/>
          <w:highlight w:val="none"/>
        </w:rPr>
        <w:t>面试：按照当年划定的总分和单科分数线确定面试名单。面试考核满分为</w:t>
      </w:r>
      <w:r>
        <w:rPr>
          <w:color w:val="auto"/>
          <w:highlight w:val="none"/>
        </w:rPr>
        <w:t>100</w:t>
      </w:r>
      <w:r>
        <w:rPr>
          <w:rFonts w:hint="eastAsia"/>
          <w:color w:val="auto"/>
          <w:highlight w:val="none"/>
        </w:rPr>
        <w:t>分。考核内容包括拟转入专业的基础知识（</w:t>
      </w:r>
      <w:r>
        <w:rPr>
          <w:color w:val="auto"/>
          <w:highlight w:val="none"/>
        </w:rPr>
        <w:t>40</w:t>
      </w:r>
      <w:r>
        <w:rPr>
          <w:rFonts w:hint="eastAsia"/>
          <w:color w:val="auto"/>
          <w:highlight w:val="none"/>
        </w:rPr>
        <w:t>分）、综合能力（</w:t>
      </w:r>
      <w:r>
        <w:rPr>
          <w:color w:val="auto"/>
          <w:highlight w:val="none"/>
        </w:rPr>
        <w:t>50</w:t>
      </w:r>
      <w:r>
        <w:rPr>
          <w:rFonts w:hint="eastAsia"/>
          <w:color w:val="auto"/>
          <w:highlight w:val="none"/>
        </w:rPr>
        <w:t>分）和英语听说能力（</w:t>
      </w:r>
      <w:r>
        <w:rPr>
          <w:color w:val="auto"/>
          <w:highlight w:val="none"/>
        </w:rPr>
        <w:t>10</w:t>
      </w:r>
      <w:r>
        <w:rPr>
          <w:rFonts w:hint="eastAsia"/>
          <w:color w:val="auto"/>
          <w:highlight w:val="none"/>
        </w:rPr>
        <w:t>分）三部分。面试成绩不及格（</w:t>
      </w:r>
      <w:r>
        <w:rPr>
          <w:color w:val="auto"/>
          <w:highlight w:val="none"/>
        </w:rPr>
        <w:t>60分以下）者不予录取。</w:t>
      </w:r>
    </w:p>
    <w:p w14:paraId="7E40C27F">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lang w:val="en-US" w:eastAsia="zh-CN"/>
        </w:rPr>
        <w:t>3.</w:t>
      </w:r>
      <w:r>
        <w:rPr>
          <w:rFonts w:hint="eastAsia"/>
          <w:color w:val="auto"/>
          <w:highlight w:val="none"/>
        </w:rPr>
        <w:t>综合成绩的计算：</w:t>
      </w:r>
    </w:p>
    <w:p w14:paraId="1D8E9AB6">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olor w:val="auto"/>
          <w:highlight w:val="none"/>
        </w:rPr>
      </w:pPr>
      <w:r>
        <w:rPr>
          <w:color w:val="auto"/>
          <w:highlight w:val="none"/>
        </w:rPr>
        <w:pict>
          <v:shape id="_x0000_s1026" o:spid="_x0000_s1026" o:spt="75" type="#_x0000_t75" style="position:absolute;left:0pt;margin-left:110pt;margin-top:19.8pt;height:36pt;width:281.25pt;z-index:251659264;mso-width-relative:page;mso-height-relative:page;" o:ole="t" filled="f" o:preferrelative="t" stroked="f" coordsize="21600,21600">
            <v:path/>
            <v:fill on="f" focussize="0,0"/>
            <v:stroke on="f"/>
            <v:imagedata r:id="rId6" o:title=""/>
            <o:lock v:ext="edit" aspectratio="t"/>
          </v:shape>
          <o:OLEObject Type="Embed" ProgID="Equation.DSMT4" ShapeID="_x0000_s1026" DrawAspect="Content" ObjectID="_1468075725" r:id="rId5">
            <o:LockedField>false</o:LockedField>
          </o:OLEObject>
        </w:pict>
      </w:r>
    </w:p>
    <w:p w14:paraId="294F1E13">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综合成绩</w:t>
      </w:r>
      <w:r>
        <w:rPr>
          <w:color w:val="auto"/>
          <w:highlight w:val="none"/>
        </w:rPr>
        <w:t>=</w:t>
      </w:r>
    </w:p>
    <w:p w14:paraId="57A961E1">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olor w:val="auto"/>
          <w:highlight w:val="none"/>
        </w:rPr>
      </w:pPr>
      <w:bookmarkStart w:id="0" w:name="_Hlk153872955"/>
    </w:p>
    <w:p w14:paraId="1F3A45A7">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六、录取规则</w:t>
      </w:r>
    </w:p>
    <w:bookmarkEnd w:id="0"/>
    <w:p w14:paraId="5A701A33">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color w:val="auto"/>
          <w:highlight w:val="none"/>
        </w:rPr>
      </w:pPr>
      <w:r>
        <w:rPr>
          <w:rFonts w:hint="eastAsia"/>
          <w:color w:val="auto"/>
          <w:highlight w:val="none"/>
        </w:rPr>
        <w:t>根据经济学院接收转专业的名额，以综合成绩排名为序择优录取，</w:t>
      </w:r>
      <w:r>
        <w:rPr>
          <w:color w:val="auto"/>
          <w:highlight w:val="none"/>
        </w:rPr>
        <w:t>综合成绩不及格</w:t>
      </w:r>
      <w:r>
        <w:rPr>
          <w:rFonts w:hint="eastAsia"/>
          <w:color w:val="auto"/>
          <w:highlight w:val="none"/>
        </w:rPr>
        <w:t>（</w:t>
      </w:r>
      <w:r>
        <w:rPr>
          <w:color w:val="auto"/>
          <w:highlight w:val="none"/>
        </w:rPr>
        <w:t>60分以下</w:t>
      </w:r>
      <w:r>
        <w:rPr>
          <w:rFonts w:hint="eastAsia"/>
          <w:color w:val="auto"/>
          <w:highlight w:val="none"/>
        </w:rPr>
        <w:t>）</w:t>
      </w:r>
      <w:r>
        <w:rPr>
          <w:color w:val="auto"/>
          <w:highlight w:val="none"/>
        </w:rPr>
        <w:t>者</w:t>
      </w:r>
      <w:r>
        <w:rPr>
          <w:rFonts w:hint="eastAsia"/>
          <w:color w:val="auto"/>
          <w:highlight w:val="none"/>
        </w:rPr>
        <w:t>不予录取。</w:t>
      </w:r>
    </w:p>
    <w:p w14:paraId="1D5990C8">
      <w:pPr>
        <w:pStyle w:val="1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color w:val="auto"/>
          <w:highlight w:val="none"/>
        </w:rPr>
      </w:pPr>
      <w:r>
        <w:rPr>
          <w:rFonts w:hint="eastAsia"/>
          <w:color w:val="auto"/>
          <w:highlight w:val="none"/>
        </w:rPr>
        <w:t>七、接收计划</w:t>
      </w:r>
    </w:p>
    <w:tbl>
      <w:tblPr>
        <w:tblStyle w:val="22"/>
        <w:tblW w:w="820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1774"/>
        <w:gridCol w:w="2387"/>
        <w:gridCol w:w="1826"/>
      </w:tblGrid>
      <w:tr w14:paraId="711E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2218" w:type="dxa"/>
            <w:vAlign w:val="center"/>
          </w:tcPr>
          <w:p w14:paraId="4CFE5490">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接收专业</w:t>
            </w:r>
          </w:p>
        </w:tc>
        <w:tc>
          <w:tcPr>
            <w:tcW w:w="1774" w:type="dxa"/>
            <w:vAlign w:val="center"/>
          </w:tcPr>
          <w:p w14:paraId="3959F48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计划接收</w:t>
            </w:r>
          </w:p>
          <w:p w14:paraId="346E4E5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年级</w:t>
            </w:r>
          </w:p>
        </w:tc>
        <w:tc>
          <w:tcPr>
            <w:tcW w:w="2387" w:type="dxa"/>
            <w:vAlign w:val="center"/>
          </w:tcPr>
          <w:p w14:paraId="06185EFC">
            <w:pPr>
              <w:pStyle w:val="23"/>
              <w:keepNext w:val="0"/>
              <w:keepLines w:val="0"/>
              <w:pageBreakBefore w:val="0"/>
              <w:widowControl w:val="0"/>
              <w:kinsoku/>
              <w:wordWrap/>
              <w:overflowPunct/>
              <w:topLinePunct w:val="0"/>
              <w:bidi w:val="0"/>
              <w:adjustRightInd/>
              <w:snapToGrid/>
              <w:spacing w:line="240" w:lineRule="auto"/>
              <w:ind w:left="0" w:right="0" w:firstLine="564" w:firstLineChars="200"/>
              <w:jc w:val="center"/>
              <w:textAlignment w:val="auto"/>
              <w:rPr>
                <w:color w:val="auto"/>
                <w:spacing w:val="-19"/>
                <w:sz w:val="32"/>
                <w:highlight w:val="none"/>
                <w:lang w:eastAsia="zh-CN"/>
              </w:rPr>
            </w:pPr>
          </w:p>
          <w:p w14:paraId="2E000C5F">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lang w:eastAsia="zh-CN"/>
              </w:rPr>
            </w:pPr>
            <w:r>
              <w:rPr>
                <w:color w:val="auto"/>
                <w:spacing w:val="-19"/>
                <w:sz w:val="32"/>
                <w:highlight w:val="none"/>
                <w:lang w:eastAsia="zh-CN"/>
              </w:rPr>
              <w:t>计划接收人数</w:t>
            </w:r>
          </w:p>
          <w:p w14:paraId="0AB37036">
            <w:pPr>
              <w:pStyle w:val="23"/>
              <w:keepNext w:val="0"/>
              <w:keepLines w:val="0"/>
              <w:pageBreakBefore w:val="0"/>
              <w:widowControl w:val="0"/>
              <w:kinsoku/>
              <w:wordWrap/>
              <w:overflowPunct/>
              <w:topLinePunct w:val="0"/>
              <w:bidi w:val="0"/>
              <w:adjustRightInd/>
              <w:snapToGrid/>
              <w:spacing w:line="240" w:lineRule="auto"/>
              <w:ind w:left="0" w:right="0" w:firstLine="640" w:firstLineChars="200"/>
              <w:jc w:val="center"/>
              <w:textAlignment w:val="auto"/>
              <w:rPr>
                <w:color w:val="auto"/>
                <w:sz w:val="32"/>
                <w:highlight w:val="none"/>
                <w:lang w:eastAsia="zh-CN"/>
              </w:rPr>
            </w:pPr>
          </w:p>
        </w:tc>
        <w:tc>
          <w:tcPr>
            <w:tcW w:w="1826" w:type="dxa"/>
            <w:vAlign w:val="center"/>
          </w:tcPr>
          <w:p w14:paraId="3C75EF8D">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color w:val="auto"/>
                <w:sz w:val="32"/>
                <w:highlight w:val="none"/>
              </w:rPr>
            </w:pPr>
            <w:r>
              <w:rPr>
                <w:color w:val="auto"/>
                <w:sz w:val="32"/>
                <w:highlight w:val="none"/>
              </w:rPr>
              <w:t>备注</w:t>
            </w:r>
          </w:p>
        </w:tc>
      </w:tr>
      <w:tr w14:paraId="0B1B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218" w:type="dxa"/>
            <w:vAlign w:val="center"/>
          </w:tcPr>
          <w:p w14:paraId="572852C3">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rPr>
            </w:pPr>
            <w:r>
              <w:rPr>
                <w:rFonts w:hint="eastAsia" w:ascii="Times New Roman"/>
                <w:color w:val="auto"/>
                <w:sz w:val="30"/>
                <w:szCs w:val="30"/>
                <w:highlight w:val="none"/>
                <w:lang w:val="en-US" w:eastAsia="zh-CN"/>
              </w:rPr>
              <w:t>经济学类</w:t>
            </w:r>
          </w:p>
        </w:tc>
        <w:tc>
          <w:tcPr>
            <w:tcW w:w="1774" w:type="dxa"/>
            <w:vAlign w:val="center"/>
          </w:tcPr>
          <w:p w14:paraId="769697C9">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30"/>
                <w:szCs w:val="30"/>
                <w:highlight w:val="none"/>
                <w:lang w:eastAsia="zh-CN"/>
              </w:rPr>
            </w:pPr>
            <w:r>
              <w:rPr>
                <w:rFonts w:hint="eastAsia" w:ascii="Times New Roman"/>
                <w:color w:val="auto"/>
                <w:sz w:val="30"/>
                <w:szCs w:val="30"/>
                <w:highlight w:val="none"/>
                <w:lang w:eastAsia="zh-CN"/>
              </w:rPr>
              <w:t>2</w:t>
            </w:r>
            <w:r>
              <w:rPr>
                <w:rFonts w:ascii="Times New Roman"/>
                <w:color w:val="auto"/>
                <w:sz w:val="30"/>
                <w:szCs w:val="30"/>
                <w:highlight w:val="none"/>
                <w:lang w:eastAsia="zh-CN"/>
              </w:rPr>
              <w:t>02</w:t>
            </w:r>
            <w:r>
              <w:rPr>
                <w:rFonts w:hint="eastAsia" w:ascii="Times New Roman"/>
                <w:color w:val="auto"/>
                <w:sz w:val="30"/>
                <w:szCs w:val="30"/>
                <w:highlight w:val="none"/>
                <w:lang w:val="en-US" w:eastAsia="zh-CN"/>
              </w:rPr>
              <w:t>5</w:t>
            </w:r>
            <w:r>
              <w:rPr>
                <w:rFonts w:hint="eastAsia" w:ascii="Times New Roman"/>
                <w:color w:val="auto"/>
                <w:sz w:val="30"/>
                <w:szCs w:val="30"/>
                <w:highlight w:val="none"/>
                <w:lang w:eastAsia="zh-CN"/>
              </w:rPr>
              <w:t>级</w:t>
            </w:r>
          </w:p>
        </w:tc>
        <w:tc>
          <w:tcPr>
            <w:tcW w:w="2387" w:type="dxa"/>
            <w:vAlign w:val="center"/>
          </w:tcPr>
          <w:p w14:paraId="66DA8326">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24"/>
                <w:szCs w:val="24"/>
                <w:highlight w:val="none"/>
                <w:lang w:val="en-US" w:eastAsia="zh-CN"/>
              </w:rPr>
            </w:pPr>
            <w:r>
              <w:rPr>
                <w:rFonts w:hint="eastAsia" w:ascii="Times New Roman"/>
                <w:color w:val="auto"/>
                <w:sz w:val="24"/>
                <w:szCs w:val="24"/>
                <w:highlight w:val="none"/>
                <w:lang w:eastAsia="zh-CN"/>
              </w:rPr>
              <w:t>经济学</w:t>
            </w:r>
            <w:r>
              <w:rPr>
                <w:rFonts w:hint="eastAsia" w:ascii="Times New Roman"/>
                <w:color w:val="auto"/>
                <w:sz w:val="24"/>
                <w:szCs w:val="24"/>
                <w:highlight w:val="none"/>
                <w:lang w:val="en-US" w:eastAsia="zh-CN"/>
              </w:rPr>
              <w:t>4人</w:t>
            </w:r>
          </w:p>
          <w:p w14:paraId="37A02CCC">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国际经济与贸易4人</w:t>
            </w:r>
          </w:p>
          <w:p w14:paraId="085ACD79">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24"/>
                <w:szCs w:val="24"/>
                <w:highlight w:val="none"/>
                <w:lang w:eastAsia="zh-CN"/>
              </w:rPr>
            </w:pPr>
            <w:r>
              <w:rPr>
                <w:rFonts w:hint="eastAsia" w:ascii="Times New Roman"/>
                <w:color w:val="auto"/>
                <w:sz w:val="24"/>
                <w:szCs w:val="24"/>
                <w:highlight w:val="none"/>
                <w:lang w:eastAsia="zh-CN"/>
              </w:rPr>
              <w:t>财政学</w:t>
            </w:r>
            <w:r>
              <w:rPr>
                <w:rFonts w:hint="eastAsia" w:ascii="Times New Roman"/>
                <w:color w:val="auto"/>
                <w:sz w:val="24"/>
                <w:szCs w:val="24"/>
                <w:highlight w:val="none"/>
                <w:lang w:val="en-US" w:eastAsia="zh-CN"/>
              </w:rPr>
              <w:t>4人</w:t>
            </w:r>
          </w:p>
          <w:p w14:paraId="2EA942FC">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eastAsia="zh-CN"/>
              </w:rPr>
            </w:pPr>
            <w:r>
              <w:rPr>
                <w:rFonts w:hint="eastAsia" w:ascii="Times New Roman"/>
                <w:color w:val="auto"/>
                <w:sz w:val="24"/>
                <w:szCs w:val="24"/>
                <w:highlight w:val="none"/>
                <w:lang w:eastAsia="zh-CN"/>
              </w:rPr>
              <w:t>商务经济学</w:t>
            </w:r>
            <w:r>
              <w:rPr>
                <w:rFonts w:hint="eastAsia" w:ascii="Times New Roman"/>
                <w:color w:val="auto"/>
                <w:sz w:val="24"/>
                <w:szCs w:val="24"/>
                <w:highlight w:val="none"/>
                <w:lang w:val="en-US" w:eastAsia="zh-CN"/>
              </w:rPr>
              <w:t>4人</w:t>
            </w:r>
          </w:p>
        </w:tc>
        <w:tc>
          <w:tcPr>
            <w:tcW w:w="1826" w:type="dxa"/>
            <w:vAlign w:val="center"/>
          </w:tcPr>
          <w:p w14:paraId="4FF0D259">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ascii="Times New Roman"/>
                <w:color w:val="auto"/>
                <w:sz w:val="24"/>
                <w:szCs w:val="24"/>
                <w:highlight w:val="none"/>
                <w:lang w:eastAsia="zh-CN"/>
              </w:rPr>
            </w:pPr>
          </w:p>
        </w:tc>
      </w:tr>
      <w:tr w14:paraId="77AA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218" w:type="dxa"/>
            <w:vAlign w:val="center"/>
          </w:tcPr>
          <w:p w14:paraId="25CF28E3">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24"/>
                <w:szCs w:val="24"/>
                <w:highlight w:val="none"/>
                <w:lang w:eastAsia="zh-CN"/>
              </w:rPr>
            </w:pPr>
            <w:r>
              <w:rPr>
                <w:rFonts w:hint="eastAsia" w:ascii="Times New Roman"/>
                <w:color w:val="auto"/>
                <w:sz w:val="24"/>
                <w:szCs w:val="24"/>
                <w:highlight w:val="none"/>
                <w:lang w:eastAsia="zh-CN"/>
              </w:rPr>
              <w:t>经济学</w:t>
            </w:r>
          </w:p>
          <w:p w14:paraId="7E1969ED">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国际经济与贸易</w:t>
            </w:r>
          </w:p>
          <w:p w14:paraId="04F8513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color w:val="auto"/>
                <w:sz w:val="24"/>
                <w:szCs w:val="24"/>
                <w:highlight w:val="none"/>
                <w:lang w:eastAsia="zh-CN"/>
              </w:rPr>
            </w:pPr>
            <w:r>
              <w:rPr>
                <w:rFonts w:hint="eastAsia" w:ascii="Times New Roman"/>
                <w:color w:val="auto"/>
                <w:sz w:val="24"/>
                <w:szCs w:val="24"/>
                <w:highlight w:val="none"/>
                <w:lang w:eastAsia="zh-CN"/>
              </w:rPr>
              <w:t>财政学</w:t>
            </w:r>
          </w:p>
          <w:p w14:paraId="57A39D4F">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color w:val="auto"/>
                <w:sz w:val="30"/>
                <w:szCs w:val="30"/>
                <w:highlight w:val="none"/>
                <w:lang w:eastAsia="zh-CN"/>
              </w:rPr>
            </w:pPr>
            <w:r>
              <w:rPr>
                <w:rFonts w:hint="eastAsia" w:ascii="Times New Roman"/>
                <w:color w:val="auto"/>
                <w:sz w:val="24"/>
                <w:szCs w:val="24"/>
                <w:highlight w:val="none"/>
                <w:lang w:eastAsia="zh-CN"/>
              </w:rPr>
              <w:t>商务经济学</w:t>
            </w:r>
          </w:p>
        </w:tc>
        <w:tc>
          <w:tcPr>
            <w:tcW w:w="1774" w:type="dxa"/>
            <w:vAlign w:val="center"/>
          </w:tcPr>
          <w:p w14:paraId="5014E00C">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eastAsia="zh-CN"/>
              </w:rPr>
            </w:pPr>
            <w:r>
              <w:rPr>
                <w:rFonts w:hint="eastAsia" w:ascii="Times New Roman"/>
                <w:color w:val="auto"/>
                <w:sz w:val="28"/>
                <w:szCs w:val="28"/>
                <w:highlight w:val="none"/>
                <w:lang w:val="en-US" w:eastAsia="zh-CN"/>
              </w:rPr>
              <w:t>2024级及以上</w:t>
            </w:r>
          </w:p>
        </w:tc>
        <w:tc>
          <w:tcPr>
            <w:tcW w:w="2387" w:type="dxa"/>
            <w:vAlign w:val="center"/>
          </w:tcPr>
          <w:p w14:paraId="1AFF7F3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hint="default" w:ascii="Times New Roman"/>
                <w:color w:val="auto"/>
                <w:sz w:val="30"/>
                <w:szCs w:val="30"/>
                <w:highlight w:val="none"/>
                <w:lang w:val="en-US" w:eastAsia="zh-CN"/>
              </w:rPr>
            </w:pPr>
            <w:r>
              <w:rPr>
                <w:rFonts w:hint="eastAsia" w:ascii="Times New Roman"/>
                <w:color w:val="auto"/>
                <w:sz w:val="30"/>
                <w:szCs w:val="30"/>
                <w:highlight w:val="none"/>
                <w:lang w:val="en-US" w:eastAsia="zh-CN"/>
              </w:rPr>
              <w:t>每</w:t>
            </w:r>
            <w:bookmarkStart w:id="1" w:name="_GoBack"/>
            <w:bookmarkEnd w:id="1"/>
            <w:r>
              <w:rPr>
                <w:rFonts w:hint="eastAsia" w:ascii="Times New Roman"/>
                <w:color w:val="auto"/>
                <w:sz w:val="30"/>
                <w:szCs w:val="30"/>
                <w:highlight w:val="none"/>
                <w:lang w:val="en-US" w:eastAsia="zh-CN"/>
              </w:rPr>
              <w:t>专业各1人</w:t>
            </w:r>
          </w:p>
        </w:tc>
        <w:tc>
          <w:tcPr>
            <w:tcW w:w="1826" w:type="dxa"/>
            <w:vAlign w:val="center"/>
          </w:tcPr>
          <w:p w14:paraId="60A3B324">
            <w:pPr>
              <w:pStyle w:val="23"/>
              <w:keepNext w:val="0"/>
              <w:keepLines w:val="0"/>
              <w:pageBreakBefore w:val="0"/>
              <w:widowControl w:val="0"/>
              <w:kinsoku/>
              <w:wordWrap/>
              <w:overflowPunct/>
              <w:topLinePunct w:val="0"/>
              <w:bidi w:val="0"/>
              <w:adjustRightInd/>
              <w:snapToGrid/>
              <w:spacing w:line="240" w:lineRule="auto"/>
              <w:ind w:right="0"/>
              <w:jc w:val="both"/>
              <w:textAlignment w:val="auto"/>
              <w:rPr>
                <w:rFonts w:hint="eastAsia" w:ascii="Times New Roman"/>
                <w:color w:val="auto"/>
                <w:sz w:val="24"/>
                <w:szCs w:val="24"/>
                <w:highlight w:val="none"/>
                <w:lang w:eastAsia="zh-CN"/>
              </w:rPr>
            </w:pPr>
          </w:p>
        </w:tc>
      </w:tr>
    </w:tbl>
    <w:p w14:paraId="62607A85">
      <w:pPr>
        <w:pStyle w:val="19"/>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rPr>
        <w:t>八、复议</w:t>
      </w:r>
    </w:p>
    <w:p w14:paraId="097E1DEE">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rPr>
        <w:t>学生若对录取结果存有异议，可书面向经济学院</w:t>
      </w:r>
      <w:r>
        <w:rPr>
          <w:color w:val="auto"/>
          <w:highlight w:val="none"/>
        </w:rPr>
        <w:t>转专业工作领导小组</w:t>
      </w:r>
      <w:r>
        <w:rPr>
          <w:rFonts w:hint="eastAsia"/>
          <w:color w:val="auto"/>
          <w:highlight w:val="none"/>
        </w:rPr>
        <w:t>提出复议申请，复议时间为公示期后3天内。联系方式：</w:t>
      </w:r>
      <w:r>
        <w:rPr>
          <w:rFonts w:hint="eastAsia"/>
          <w:color w:val="auto"/>
          <w:highlight w:val="none"/>
          <w:lang w:val="en-US" w:eastAsia="zh-CN"/>
        </w:rPr>
        <w:t>022-23495062</w:t>
      </w:r>
      <w:r>
        <w:rPr>
          <w:rFonts w:hint="eastAsia"/>
          <w:color w:val="auto"/>
          <w:highlight w:val="none"/>
        </w:rPr>
        <w:t>。</w:t>
      </w:r>
      <w:r>
        <w:rPr>
          <w:color w:val="auto"/>
          <w:highlight w:val="none"/>
        </w:rPr>
        <w:t>领导小组</w:t>
      </w:r>
      <w:r>
        <w:rPr>
          <w:rFonts w:hint="eastAsia"/>
          <w:color w:val="auto"/>
          <w:highlight w:val="none"/>
        </w:rPr>
        <w:t>将进行审议并作出最终决定。</w:t>
      </w:r>
    </w:p>
    <w:p w14:paraId="17C9602E">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rPr>
        <w:t>意外情况的处理办法及解释权归属于经济学院转专业工作领导小组。</w:t>
      </w:r>
    </w:p>
    <w:p w14:paraId="73EC5A44">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rFonts w:hint="eastAsia"/>
          <w:color w:val="auto"/>
          <w:highlight w:val="none"/>
          <w:lang w:val="en-US" w:eastAsia="zh-CN"/>
        </w:rPr>
        <w:t xml:space="preserve">                               </w:t>
      </w:r>
      <w:r>
        <w:rPr>
          <w:rFonts w:hint="eastAsia"/>
          <w:color w:val="auto"/>
          <w:highlight w:val="none"/>
        </w:rPr>
        <w:t>经济学院</w:t>
      </w:r>
    </w:p>
    <w:p w14:paraId="70FECB19">
      <w:pPr>
        <w:pStyle w:val="20"/>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 xml:space="preserve">  20</w:t>
      </w:r>
      <w:r>
        <w:rPr>
          <w:rFonts w:hint="eastAsia"/>
          <w:color w:val="auto"/>
          <w:highlight w:val="none"/>
        </w:rPr>
        <w:t>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3</w:t>
      </w:r>
      <w:r>
        <w:rPr>
          <w:rFonts w:hint="eastAsia"/>
          <w:color w:val="auto"/>
          <w:highlight w:val="none"/>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A5B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0E9742">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C1"/>
    <w:rsid w:val="00006795"/>
    <w:rsid w:val="0003710E"/>
    <w:rsid w:val="00044DAD"/>
    <w:rsid w:val="00052641"/>
    <w:rsid w:val="0006312E"/>
    <w:rsid w:val="00091F9C"/>
    <w:rsid w:val="000929E3"/>
    <w:rsid w:val="00096BD4"/>
    <w:rsid w:val="000A5BC2"/>
    <w:rsid w:val="000B390E"/>
    <w:rsid w:val="000C6E99"/>
    <w:rsid w:val="000D47CD"/>
    <w:rsid w:val="00126D5B"/>
    <w:rsid w:val="001339FD"/>
    <w:rsid w:val="00152FA8"/>
    <w:rsid w:val="001631CB"/>
    <w:rsid w:val="00170447"/>
    <w:rsid w:val="00181DF2"/>
    <w:rsid w:val="00184DFE"/>
    <w:rsid w:val="00185F73"/>
    <w:rsid w:val="001A21A9"/>
    <w:rsid w:val="001D48CC"/>
    <w:rsid w:val="00216D3F"/>
    <w:rsid w:val="00222376"/>
    <w:rsid w:val="0024517D"/>
    <w:rsid w:val="00261040"/>
    <w:rsid w:val="002610B9"/>
    <w:rsid w:val="00262878"/>
    <w:rsid w:val="00263751"/>
    <w:rsid w:val="0028056B"/>
    <w:rsid w:val="00287729"/>
    <w:rsid w:val="002A4E1F"/>
    <w:rsid w:val="002B22C6"/>
    <w:rsid w:val="002B56C4"/>
    <w:rsid w:val="002C2AC2"/>
    <w:rsid w:val="002C6C78"/>
    <w:rsid w:val="002D1BF9"/>
    <w:rsid w:val="002D5BC5"/>
    <w:rsid w:val="002D767A"/>
    <w:rsid w:val="002F3F98"/>
    <w:rsid w:val="00302336"/>
    <w:rsid w:val="0030263E"/>
    <w:rsid w:val="00331DA5"/>
    <w:rsid w:val="003405B3"/>
    <w:rsid w:val="0034268C"/>
    <w:rsid w:val="00343EE2"/>
    <w:rsid w:val="00371A42"/>
    <w:rsid w:val="003829EB"/>
    <w:rsid w:val="003A2E0A"/>
    <w:rsid w:val="003A6B5F"/>
    <w:rsid w:val="003B6DE5"/>
    <w:rsid w:val="003C678B"/>
    <w:rsid w:val="003E0FB9"/>
    <w:rsid w:val="003F0599"/>
    <w:rsid w:val="003F5DD6"/>
    <w:rsid w:val="00434089"/>
    <w:rsid w:val="0044176D"/>
    <w:rsid w:val="004463CC"/>
    <w:rsid w:val="00450AA9"/>
    <w:rsid w:val="00454786"/>
    <w:rsid w:val="0045637B"/>
    <w:rsid w:val="0045769E"/>
    <w:rsid w:val="00473458"/>
    <w:rsid w:val="00481737"/>
    <w:rsid w:val="004B3D58"/>
    <w:rsid w:val="004C0F19"/>
    <w:rsid w:val="004E4D16"/>
    <w:rsid w:val="005004A8"/>
    <w:rsid w:val="00501079"/>
    <w:rsid w:val="00506332"/>
    <w:rsid w:val="00511CFC"/>
    <w:rsid w:val="00513324"/>
    <w:rsid w:val="00530F4D"/>
    <w:rsid w:val="00543942"/>
    <w:rsid w:val="0056185F"/>
    <w:rsid w:val="00566E80"/>
    <w:rsid w:val="005700E7"/>
    <w:rsid w:val="00573240"/>
    <w:rsid w:val="00581446"/>
    <w:rsid w:val="00594554"/>
    <w:rsid w:val="005B245A"/>
    <w:rsid w:val="005C7810"/>
    <w:rsid w:val="005D651D"/>
    <w:rsid w:val="005D706F"/>
    <w:rsid w:val="005E3E27"/>
    <w:rsid w:val="005F0EBC"/>
    <w:rsid w:val="00604A13"/>
    <w:rsid w:val="006072CA"/>
    <w:rsid w:val="00623920"/>
    <w:rsid w:val="0062733A"/>
    <w:rsid w:val="00632004"/>
    <w:rsid w:val="0066013C"/>
    <w:rsid w:val="006875BF"/>
    <w:rsid w:val="00691F49"/>
    <w:rsid w:val="006935BE"/>
    <w:rsid w:val="006939F2"/>
    <w:rsid w:val="006B79EC"/>
    <w:rsid w:val="006D56E8"/>
    <w:rsid w:val="00722508"/>
    <w:rsid w:val="0074179E"/>
    <w:rsid w:val="00757DC9"/>
    <w:rsid w:val="00762650"/>
    <w:rsid w:val="00773E28"/>
    <w:rsid w:val="00781BF9"/>
    <w:rsid w:val="00783182"/>
    <w:rsid w:val="00791A0E"/>
    <w:rsid w:val="007A04D6"/>
    <w:rsid w:val="007A2517"/>
    <w:rsid w:val="007A3108"/>
    <w:rsid w:val="007F3A8A"/>
    <w:rsid w:val="00803908"/>
    <w:rsid w:val="00826A47"/>
    <w:rsid w:val="00842164"/>
    <w:rsid w:val="0084416F"/>
    <w:rsid w:val="0084650A"/>
    <w:rsid w:val="008619DF"/>
    <w:rsid w:val="00884702"/>
    <w:rsid w:val="00895E91"/>
    <w:rsid w:val="008A0C4D"/>
    <w:rsid w:val="008B0061"/>
    <w:rsid w:val="008B2AC8"/>
    <w:rsid w:val="008B3516"/>
    <w:rsid w:val="008B6603"/>
    <w:rsid w:val="008C1A19"/>
    <w:rsid w:val="008E0978"/>
    <w:rsid w:val="008F30A1"/>
    <w:rsid w:val="00924D55"/>
    <w:rsid w:val="009305FF"/>
    <w:rsid w:val="009346DB"/>
    <w:rsid w:val="00971374"/>
    <w:rsid w:val="009774CC"/>
    <w:rsid w:val="009A1424"/>
    <w:rsid w:val="009A6804"/>
    <w:rsid w:val="009E3A54"/>
    <w:rsid w:val="009E6B09"/>
    <w:rsid w:val="009E757B"/>
    <w:rsid w:val="009F01A0"/>
    <w:rsid w:val="009F21B8"/>
    <w:rsid w:val="009F5C28"/>
    <w:rsid w:val="00A12FE2"/>
    <w:rsid w:val="00A17F9F"/>
    <w:rsid w:val="00A2137B"/>
    <w:rsid w:val="00A22888"/>
    <w:rsid w:val="00A31BC3"/>
    <w:rsid w:val="00A42426"/>
    <w:rsid w:val="00A46FED"/>
    <w:rsid w:val="00A51325"/>
    <w:rsid w:val="00A9618A"/>
    <w:rsid w:val="00AB6AB4"/>
    <w:rsid w:val="00AC4053"/>
    <w:rsid w:val="00AD65C3"/>
    <w:rsid w:val="00AE431F"/>
    <w:rsid w:val="00AE6358"/>
    <w:rsid w:val="00AF0019"/>
    <w:rsid w:val="00AF4F7E"/>
    <w:rsid w:val="00B143AB"/>
    <w:rsid w:val="00B17BBE"/>
    <w:rsid w:val="00B3208B"/>
    <w:rsid w:val="00B34B8A"/>
    <w:rsid w:val="00B433B6"/>
    <w:rsid w:val="00B445CB"/>
    <w:rsid w:val="00B521FF"/>
    <w:rsid w:val="00B718A4"/>
    <w:rsid w:val="00B75608"/>
    <w:rsid w:val="00B76B5C"/>
    <w:rsid w:val="00B84FEF"/>
    <w:rsid w:val="00B87A43"/>
    <w:rsid w:val="00B907F2"/>
    <w:rsid w:val="00BA4497"/>
    <w:rsid w:val="00BB771C"/>
    <w:rsid w:val="00BC51A9"/>
    <w:rsid w:val="00BD699C"/>
    <w:rsid w:val="00BE2634"/>
    <w:rsid w:val="00BE4CA3"/>
    <w:rsid w:val="00C3415E"/>
    <w:rsid w:val="00C3743F"/>
    <w:rsid w:val="00C43A10"/>
    <w:rsid w:val="00C4645C"/>
    <w:rsid w:val="00C802CA"/>
    <w:rsid w:val="00C8580E"/>
    <w:rsid w:val="00C952AC"/>
    <w:rsid w:val="00CA5EA1"/>
    <w:rsid w:val="00CB0061"/>
    <w:rsid w:val="00CB2B16"/>
    <w:rsid w:val="00CB3CD0"/>
    <w:rsid w:val="00CB7EFE"/>
    <w:rsid w:val="00CD02C5"/>
    <w:rsid w:val="00D06459"/>
    <w:rsid w:val="00D1213F"/>
    <w:rsid w:val="00D20914"/>
    <w:rsid w:val="00D477C4"/>
    <w:rsid w:val="00D50C13"/>
    <w:rsid w:val="00D825ED"/>
    <w:rsid w:val="00D85B85"/>
    <w:rsid w:val="00DB776A"/>
    <w:rsid w:val="00DC34FE"/>
    <w:rsid w:val="00DD0B36"/>
    <w:rsid w:val="00E1413E"/>
    <w:rsid w:val="00E3334D"/>
    <w:rsid w:val="00E3601E"/>
    <w:rsid w:val="00E41002"/>
    <w:rsid w:val="00E649CC"/>
    <w:rsid w:val="00E77DDD"/>
    <w:rsid w:val="00E81A5E"/>
    <w:rsid w:val="00E83241"/>
    <w:rsid w:val="00E83A1B"/>
    <w:rsid w:val="00E97790"/>
    <w:rsid w:val="00EA6EAD"/>
    <w:rsid w:val="00EB7E12"/>
    <w:rsid w:val="00EC271F"/>
    <w:rsid w:val="00ED2508"/>
    <w:rsid w:val="00EE4D36"/>
    <w:rsid w:val="00F03D5E"/>
    <w:rsid w:val="00F06729"/>
    <w:rsid w:val="00F06E48"/>
    <w:rsid w:val="00F26D4F"/>
    <w:rsid w:val="00F32890"/>
    <w:rsid w:val="00F4511E"/>
    <w:rsid w:val="00F54ACF"/>
    <w:rsid w:val="00F56EEF"/>
    <w:rsid w:val="00F60F08"/>
    <w:rsid w:val="00FA098A"/>
    <w:rsid w:val="00FB1154"/>
    <w:rsid w:val="00FB2B33"/>
    <w:rsid w:val="00FB34C1"/>
    <w:rsid w:val="00FB3AC7"/>
    <w:rsid w:val="00FD23EE"/>
    <w:rsid w:val="00FF2A15"/>
    <w:rsid w:val="048706BC"/>
    <w:rsid w:val="05407C96"/>
    <w:rsid w:val="05CB3C54"/>
    <w:rsid w:val="0986626D"/>
    <w:rsid w:val="1BCE42A1"/>
    <w:rsid w:val="1D1817A3"/>
    <w:rsid w:val="23536997"/>
    <w:rsid w:val="23B36C03"/>
    <w:rsid w:val="25523726"/>
    <w:rsid w:val="2D08340C"/>
    <w:rsid w:val="33AC79C8"/>
    <w:rsid w:val="389D7A09"/>
    <w:rsid w:val="3AD60A53"/>
    <w:rsid w:val="3E44534E"/>
    <w:rsid w:val="451C256A"/>
    <w:rsid w:val="4641607D"/>
    <w:rsid w:val="48DA754E"/>
    <w:rsid w:val="59A07884"/>
    <w:rsid w:val="5AD71F2A"/>
    <w:rsid w:val="5DC95361"/>
    <w:rsid w:val="70214574"/>
    <w:rsid w:val="7A585CB9"/>
    <w:rsid w:val="7BB162BC"/>
    <w:rsid w:val="7D7C3CA6"/>
    <w:rsid w:val="7E38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2"/>
    <w:basedOn w:val="1"/>
    <w:link w:val="14"/>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2 字符"/>
    <w:basedOn w:val="9"/>
    <w:link w:val="3"/>
    <w:qFormat/>
    <w:uiPriority w:val="99"/>
    <w:rPr>
      <w:rFonts w:ascii="Times New Roman" w:hAnsi="Times New Roman" w:eastAsia="宋体" w:cs="Times New Roman"/>
      <w:sz w:val="24"/>
      <w:szCs w:val="24"/>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9">
    <w:name w:val="小标题"/>
    <w:basedOn w:val="1"/>
    <w:qFormat/>
    <w:uiPriority w:val="0"/>
    <w:pPr>
      <w:jc w:val="left"/>
    </w:pPr>
    <w:rPr>
      <w:rFonts w:ascii="黑体" w:hAnsi="黑体" w:eastAsia="黑体" w:cs="黑体"/>
      <w:kern w:val="0"/>
      <w:sz w:val="32"/>
      <w:szCs w:val="32"/>
    </w:rPr>
  </w:style>
  <w:style w:type="paragraph" w:customStyle="1" w:styleId="20">
    <w:name w:val="细则正文"/>
    <w:basedOn w:val="1"/>
    <w:qFormat/>
    <w:uiPriority w:val="0"/>
    <w:pPr>
      <w:ind w:firstLine="640" w:firstLineChars="200"/>
      <w:jc w:val="left"/>
    </w:pPr>
    <w:rPr>
      <w:rFonts w:ascii="仿宋" w:hAnsi="仿宋" w:eastAsia="仿宋" w:cs="仿宋"/>
      <w:sz w:val="32"/>
      <w:szCs w:val="32"/>
    </w:rPr>
  </w:style>
  <w:style w:type="character" w:customStyle="1" w:styleId="21">
    <w:name w:val="Unresolved Mention"/>
    <w:basedOn w:val="9"/>
    <w:semiHidden/>
    <w:unhideWhenUsed/>
    <w:qFormat/>
    <w:uiPriority w:val="99"/>
    <w:rPr>
      <w:color w:val="605E5C"/>
      <w:shd w:val="clear" w:color="auto" w:fill="E1DFDD"/>
    </w:rPr>
  </w:style>
  <w:style w:type="table" w:customStyle="1" w:styleId="2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1EDC9-7624-44EC-AD55-4CF47251B8FF}">
  <ds:schemaRefs/>
</ds:datastoreItem>
</file>

<file path=docProps/app.xml><?xml version="1.0" encoding="utf-8"?>
<Properties xmlns="http://schemas.openxmlformats.org/officeDocument/2006/extended-properties" xmlns:vt="http://schemas.openxmlformats.org/officeDocument/2006/docPropsVTypes">
  <Template>Normal</Template>
  <Pages>3</Pages>
  <Words>1101</Words>
  <Characters>1147</Characters>
  <Lines>10</Lines>
  <Paragraphs>2</Paragraphs>
  <TotalTime>78</TotalTime>
  <ScaleCrop>false</ScaleCrop>
  <LinksUpToDate>false</LinksUpToDate>
  <CharactersWithSpaces>1210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2023-12-29T07:05:00Z</dcterms:created>
  <dc:creator>dell</dc:creator>
  <cp:lastModifiedBy>WPS_1537742502</cp:lastModifiedBy>
  <dcterms:modified xsi:type="dcterms:W3CDTF">2026-04-03T03:25:00Z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D01B90628B334B90B249CF39C8F5557D_13</vt:lpwstr>
  </property>
  <property fmtid="{D5CDD505-2E9C-101B-9397-08002B2CF9AE}" pid="4" name="KSOTemplateDocerSaveRecord">
    <vt:lpwstr>eyJoZGlkIjoiY2IwZjU2MWY3Y2M3NGM1OGQ0MGJjNDM1ZDFlMDUyMDkiLCJ1c2VySWQiOiI0MDkzNDAxMjEifQ==</vt:lpwstr>
  </property>
</Properties>
</file>