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80304">
      <w:pPr>
        <w:spacing w:line="247" w:lineRule="auto"/>
        <w:jc w:val="both"/>
        <w:rPr>
          <w:rFonts w:ascii="Times New Roman" w:hAnsi="Times New Roman"/>
        </w:rPr>
      </w:pPr>
    </w:p>
    <w:p w14:paraId="29D78431">
      <w:pPr>
        <w:tabs>
          <w:tab w:val="left" w:pos="2026"/>
        </w:tabs>
        <w:spacing w:before="140" w:line="281" w:lineRule="auto"/>
        <w:ind w:left="45"/>
        <w:jc w:val="center"/>
        <w:rPr>
          <w:rFonts w:ascii="Times New Roman" w:hAnsi="Times New Roman" w:eastAsia="方正公文小标宋" w:cs="方正公文小标宋"/>
          <w:spacing w:val="4"/>
          <w:sz w:val="43"/>
          <w:szCs w:val="43"/>
          <w:lang w:eastAsia="zh-CN"/>
        </w:rPr>
      </w:pPr>
      <w:r>
        <w:rPr>
          <w:rFonts w:hint="eastAsia" w:ascii="Times New Roman" w:hAnsi="Times New Roman" w:eastAsia="方正公文小标宋" w:cs="方正公文小标宋"/>
          <w:sz w:val="43"/>
          <w:szCs w:val="43"/>
          <w:lang w:eastAsia="zh-CN"/>
        </w:rPr>
        <w:t>密码与网络空间安全</w:t>
      </w:r>
      <w:r>
        <w:rPr>
          <w:rFonts w:hint="eastAsia" w:ascii="Times New Roman" w:hAnsi="Times New Roman" w:eastAsia="方正公文小标宋" w:cs="方正公文小标宋"/>
          <w:spacing w:val="4"/>
          <w:sz w:val="43"/>
          <w:szCs w:val="43"/>
          <w:lang w:eastAsia="zh-CN"/>
        </w:rPr>
        <w:t>学院</w:t>
      </w:r>
      <w:r>
        <w:rPr>
          <w:rFonts w:hint="eastAsia" w:ascii="Times New Roman" w:hAnsi="Times New Roman" w:eastAsia="方正公文小标宋" w:cs="方正公文小标宋"/>
          <w:spacing w:val="-85"/>
          <w:sz w:val="43"/>
          <w:szCs w:val="43"/>
          <w:lang w:eastAsia="zh-CN"/>
        </w:rPr>
        <w:t xml:space="preserve"> </w:t>
      </w:r>
      <w:r>
        <w:rPr>
          <w:rFonts w:hint="eastAsia" w:ascii="Times New Roman" w:hAnsi="Times New Roman" w:eastAsia="方正公文小标宋" w:cs="方正公文小标宋"/>
          <w:spacing w:val="4"/>
          <w:sz w:val="43"/>
          <w:szCs w:val="43"/>
          <w:lang w:eastAsia="zh-CN"/>
        </w:rPr>
        <w:t>2026年</w:t>
      </w:r>
    </w:p>
    <w:p w14:paraId="2E929988">
      <w:pPr>
        <w:tabs>
          <w:tab w:val="left" w:pos="2026"/>
        </w:tabs>
        <w:spacing w:before="140" w:line="281" w:lineRule="auto"/>
        <w:ind w:left="45"/>
        <w:jc w:val="center"/>
        <w:rPr>
          <w:rFonts w:ascii="Times New Roman" w:hAnsi="Times New Roman"/>
          <w:lang w:eastAsia="zh-CN"/>
        </w:rPr>
      </w:pPr>
      <w:r>
        <w:rPr>
          <w:rFonts w:hint="eastAsia" w:ascii="Times New Roman" w:hAnsi="Times New Roman" w:eastAsia="方正公文小标宋" w:cs="方正公文小标宋"/>
          <w:spacing w:val="4"/>
          <w:sz w:val="43"/>
          <w:szCs w:val="43"/>
          <w:lang w:eastAsia="zh-CN"/>
        </w:rPr>
        <w:t>本科学生转专业细则及</w:t>
      </w:r>
      <w:r>
        <w:rPr>
          <w:rFonts w:hint="eastAsia" w:ascii="Times New Roman" w:hAnsi="Times New Roman" w:eastAsia="方正公文小标宋" w:cs="方正公文小标宋"/>
          <w:spacing w:val="3"/>
          <w:sz w:val="43"/>
          <w:szCs w:val="43"/>
          <w:lang w:eastAsia="zh-CN"/>
        </w:rPr>
        <w:t>接收计划</w:t>
      </w:r>
    </w:p>
    <w:p w14:paraId="7C94DC7A">
      <w:pPr>
        <w:pStyle w:val="8"/>
        <w:spacing w:line="360" w:lineRule="auto"/>
        <w:jc w:val="both"/>
        <w:rPr>
          <w:rFonts w:ascii="Times New Roman" w:hAnsi="Times New Roman"/>
          <w:sz w:val="21"/>
          <w:lang w:eastAsia="zh-CN"/>
        </w:rPr>
      </w:pPr>
      <w:r>
        <w:rPr>
          <w:rFonts w:hint="eastAsia" w:ascii="Times New Roman" w:hAnsi="Times New Roman"/>
          <w:lang w:eastAsia="zh-CN"/>
        </w:rPr>
        <w:t>为深化本科教育教学改革，落实“以学生为中心”的教育理念，确保转专业工作平稳进行，保障学生转入后的教学秩序、教学质量及学习效果，现根据《南开大学本科学生学则》、《南开大学本科生转专业管理办法》文件要求，制定密码与网络空间安全学院转专业工作细则。</w:t>
      </w:r>
    </w:p>
    <w:p w14:paraId="32165C90">
      <w:pPr>
        <w:spacing w:before="100" w:line="360" w:lineRule="auto"/>
        <w:ind w:left="13"/>
        <w:jc w:val="both"/>
        <w:rPr>
          <w:rFonts w:ascii="Times New Roman" w:hAnsi="Times New Roman" w:eastAsia="黑体" w:cs="黑体"/>
          <w:sz w:val="32"/>
          <w:szCs w:val="32"/>
          <w:lang w:eastAsia="zh-CN"/>
        </w:rPr>
      </w:pPr>
      <w:r>
        <w:rPr>
          <w:rFonts w:ascii="Times New Roman" w:hAnsi="Times New Roman" w:eastAsia="黑体" w:cs="黑体"/>
          <w:spacing w:val="8"/>
          <w:sz w:val="32"/>
          <w:szCs w:val="32"/>
          <w:lang w:eastAsia="zh-CN"/>
        </w:rPr>
        <w:t>一、转专业工作领导小组</w:t>
      </w:r>
    </w:p>
    <w:p w14:paraId="7CD92152">
      <w:pPr>
        <w:pStyle w:val="8"/>
        <w:widowControl w:val="0"/>
        <w:kinsoku/>
        <w:autoSpaceDE/>
        <w:autoSpaceDN/>
        <w:adjustRightInd/>
        <w:snapToGrid/>
        <w:spacing w:line="360" w:lineRule="auto"/>
        <w:jc w:val="both"/>
        <w:textAlignment w:val="auto"/>
        <w:rPr>
          <w:rFonts w:ascii="Times New Roman" w:hAnsi="Times New Roman"/>
          <w:lang w:eastAsia="zh-CN"/>
        </w:rPr>
      </w:pPr>
      <w:r>
        <w:rPr>
          <w:rFonts w:hint="eastAsia" w:ascii="Times New Roman" w:hAnsi="Times New Roman"/>
          <w:lang w:eastAsia="zh-CN"/>
        </w:rPr>
        <w:t>组长：刘哲理</w:t>
      </w:r>
    </w:p>
    <w:p w14:paraId="47F41DEA">
      <w:pPr>
        <w:pStyle w:val="8"/>
        <w:widowControl w:val="0"/>
        <w:kinsoku/>
        <w:autoSpaceDE/>
        <w:autoSpaceDN/>
        <w:adjustRightInd/>
        <w:snapToGrid/>
        <w:spacing w:line="360" w:lineRule="auto"/>
        <w:jc w:val="both"/>
        <w:textAlignment w:val="auto"/>
        <w:rPr>
          <w:rFonts w:ascii="Times New Roman" w:hAnsi="Times New Roman"/>
          <w:lang w:eastAsia="zh-CN"/>
        </w:rPr>
      </w:pPr>
      <w:r>
        <w:rPr>
          <w:rFonts w:hint="eastAsia" w:ascii="Times New Roman" w:hAnsi="Times New Roman"/>
          <w:lang w:eastAsia="zh-CN"/>
        </w:rPr>
        <w:t>成员：张莹、沈宝庆、贾春福、汪定、宫晓利</w:t>
      </w:r>
    </w:p>
    <w:p w14:paraId="75E9BF4D">
      <w:pPr>
        <w:pStyle w:val="8"/>
        <w:widowControl w:val="0"/>
        <w:kinsoku/>
        <w:autoSpaceDE/>
        <w:autoSpaceDN/>
        <w:adjustRightInd/>
        <w:snapToGrid/>
        <w:spacing w:line="360" w:lineRule="auto"/>
        <w:jc w:val="both"/>
        <w:textAlignment w:val="auto"/>
        <w:rPr>
          <w:rFonts w:ascii="Times New Roman" w:hAnsi="Times New Roman"/>
          <w:lang w:eastAsia="zh-CN"/>
        </w:rPr>
      </w:pPr>
      <w:r>
        <w:rPr>
          <w:rFonts w:hint="eastAsia" w:ascii="Times New Roman" w:hAnsi="Times New Roman"/>
          <w:lang w:eastAsia="zh-CN"/>
        </w:rPr>
        <w:t>密码与网络空间安全学院转专业工作领导小组为学院转专业工作的领导机构，全面负责本学院的转专业工作。</w:t>
      </w:r>
    </w:p>
    <w:p w14:paraId="46052411">
      <w:pPr>
        <w:spacing w:line="227" w:lineRule="auto"/>
        <w:ind w:left="13"/>
        <w:jc w:val="both"/>
        <w:rPr>
          <w:rFonts w:ascii="Times New Roman" w:hAnsi="Times New Roman" w:eastAsia="黑体" w:cs="黑体"/>
          <w:sz w:val="32"/>
          <w:szCs w:val="32"/>
          <w:lang w:eastAsia="zh-CN"/>
        </w:rPr>
      </w:pPr>
      <w:r>
        <w:rPr>
          <w:rFonts w:ascii="Times New Roman" w:hAnsi="Times New Roman" w:eastAsia="黑体" w:cs="黑体"/>
          <w:spacing w:val="7"/>
          <w:sz w:val="32"/>
          <w:szCs w:val="32"/>
          <w:lang w:eastAsia="zh-CN"/>
        </w:rPr>
        <w:t>二、转出条件</w:t>
      </w:r>
    </w:p>
    <w:p w14:paraId="7849C50C">
      <w:pPr>
        <w:pStyle w:val="2"/>
        <w:spacing w:before="243" w:line="371" w:lineRule="auto"/>
        <w:ind w:left="20" w:right="41" w:firstLine="649"/>
        <w:jc w:val="both"/>
        <w:rPr>
          <w:rFonts w:ascii="Times New Roman" w:hAnsi="Times New Roman"/>
          <w:sz w:val="32"/>
          <w:szCs w:val="32"/>
          <w:lang w:eastAsia="zh-CN"/>
        </w:rPr>
      </w:pPr>
      <w:r>
        <w:rPr>
          <w:rFonts w:ascii="Times New Roman" w:hAnsi="Times New Roman"/>
          <w:spacing w:val="6"/>
          <w:sz w:val="32"/>
          <w:szCs w:val="32"/>
          <w:lang w:eastAsia="zh-CN"/>
        </w:rPr>
        <w:t>除《南开大学本科生转专业管理办法》规定的不允许转出的</w:t>
      </w:r>
      <w:r>
        <w:rPr>
          <w:rFonts w:ascii="Times New Roman" w:hAnsi="Times New Roman"/>
          <w:spacing w:val="7"/>
          <w:sz w:val="32"/>
          <w:szCs w:val="32"/>
          <w:lang w:eastAsia="zh-CN"/>
        </w:rPr>
        <w:t>情形外，学院学生转出无其他限制。</w:t>
      </w:r>
    </w:p>
    <w:p w14:paraId="328E2519">
      <w:pPr>
        <w:spacing w:before="2" w:line="360" w:lineRule="auto"/>
        <w:ind w:left="14"/>
        <w:jc w:val="both"/>
        <w:rPr>
          <w:rFonts w:ascii="Times New Roman" w:hAnsi="Times New Roman" w:eastAsia="黑体" w:cs="黑体"/>
          <w:sz w:val="32"/>
          <w:szCs w:val="32"/>
          <w:lang w:eastAsia="zh-CN"/>
        </w:rPr>
      </w:pPr>
      <w:r>
        <w:rPr>
          <w:rFonts w:ascii="Times New Roman" w:hAnsi="Times New Roman" w:eastAsia="黑体" w:cs="黑体"/>
          <w:spacing w:val="8"/>
          <w:sz w:val="32"/>
          <w:szCs w:val="32"/>
          <w:lang w:eastAsia="zh-CN"/>
        </w:rPr>
        <w:t>三、转入基本申请条件</w:t>
      </w:r>
    </w:p>
    <w:p w14:paraId="1B5862F9">
      <w:pPr>
        <w:kinsoku/>
        <w:spacing w:line="360" w:lineRule="auto"/>
        <w:ind w:firstLine="640" w:firstLineChars="200"/>
        <w:jc w:val="both"/>
        <w:rPr>
          <w:rFonts w:ascii="Times New Roman" w:hAnsi="Times New Roman" w:eastAsia="仿宋" w:cs="仿宋"/>
          <w:sz w:val="32"/>
          <w:szCs w:val="32"/>
          <w:lang w:eastAsia="zh-CN"/>
        </w:rPr>
      </w:pPr>
      <w:r>
        <w:rPr>
          <w:rFonts w:hint="eastAsia" w:ascii="Times New Roman" w:hAnsi="Times New Roman" w:eastAsia="仿宋" w:cs="仿宋"/>
          <w:sz w:val="32"/>
          <w:szCs w:val="32"/>
          <w:lang w:eastAsia="zh-CN"/>
        </w:rPr>
        <w:t>目前尚在大类内培养的2025级本科生可申请转入至非本人学籍所属大类对应的专业（或专业类），且转专业成功后不参与原学籍大类的大类分流。预转入至本人学籍所属大类对应的专业（或专业类）的可在本学期大类分流时申请。</w:t>
      </w:r>
    </w:p>
    <w:p w14:paraId="78DA6ABE">
      <w:pPr>
        <w:pStyle w:val="8"/>
        <w:kinsoku/>
        <w:spacing w:line="360" w:lineRule="auto"/>
        <w:jc w:val="both"/>
        <w:rPr>
          <w:rFonts w:ascii="Times New Roman" w:hAnsi="Times New Roman"/>
          <w:lang w:eastAsia="zh-CN"/>
        </w:rPr>
      </w:pPr>
      <w:r>
        <w:rPr>
          <w:rFonts w:hint="eastAsia" w:ascii="Times New Roman" w:hAnsi="Times New Roman"/>
          <w:lang w:eastAsia="zh-CN"/>
        </w:rPr>
        <w:t>符合《南开大学本科生转专业管理办法》第五条、第六条规定，且满足以下条件的学生，可以提出转专业申请：</w:t>
      </w:r>
    </w:p>
    <w:p w14:paraId="5A0494C7">
      <w:pPr>
        <w:numPr>
          <w:ilvl w:val="0"/>
          <w:numId w:val="1"/>
        </w:numPr>
        <w:kinsoku/>
        <w:spacing w:line="360" w:lineRule="auto"/>
        <w:ind w:left="26" w:firstLine="640" w:firstLineChars="200"/>
        <w:jc w:val="both"/>
        <w:rPr>
          <w:rFonts w:ascii="Times New Roman" w:hAnsi="Times New Roman" w:eastAsia="仿宋" w:cs="仿宋"/>
          <w:sz w:val="32"/>
          <w:szCs w:val="32"/>
          <w:lang w:eastAsia="zh-CN"/>
        </w:rPr>
      </w:pPr>
      <w:r>
        <w:rPr>
          <w:rFonts w:hint="eastAsia" w:ascii="Times New Roman" w:hAnsi="Times New Roman" w:eastAsia="仿宋" w:cs="仿宋"/>
          <w:sz w:val="32"/>
          <w:szCs w:val="32"/>
          <w:lang w:eastAsia="zh-CN"/>
        </w:rPr>
        <w:t>学生所修必修课程（通识必修课、大类基础课、专业必修课三类课程）成绩全部合格，不含重修合格。</w:t>
      </w:r>
    </w:p>
    <w:p w14:paraId="7EBD0429">
      <w:pPr>
        <w:numPr>
          <w:ilvl w:val="0"/>
          <w:numId w:val="1"/>
        </w:numPr>
        <w:spacing w:line="360" w:lineRule="auto"/>
        <w:ind w:left="26" w:firstLine="640" w:firstLineChars="200"/>
        <w:jc w:val="both"/>
        <w:rPr>
          <w:rFonts w:ascii="Times New Roman" w:hAnsi="Times New Roman" w:eastAsia="仿宋" w:cs="仿宋"/>
          <w:sz w:val="32"/>
          <w:szCs w:val="32"/>
          <w:lang w:eastAsia="zh-CN"/>
        </w:rPr>
      </w:pPr>
      <w:r>
        <w:rPr>
          <w:rFonts w:hint="eastAsia" w:ascii="Times New Roman" w:hAnsi="Times New Roman" w:eastAsia="仿宋" w:cs="仿宋"/>
          <w:sz w:val="32"/>
          <w:szCs w:val="32"/>
          <w:lang w:eastAsia="zh-CN"/>
        </w:rPr>
        <w:t>申请转入学生必修课程的平均学分绩点不低于2.0。</w:t>
      </w:r>
    </w:p>
    <w:p w14:paraId="5CDB30A0">
      <w:pPr>
        <w:spacing w:line="226" w:lineRule="auto"/>
        <w:ind w:left="26"/>
        <w:jc w:val="both"/>
        <w:rPr>
          <w:rFonts w:ascii="Times New Roman" w:hAnsi="Times New Roman" w:eastAsia="黑体" w:cs="黑体"/>
          <w:sz w:val="32"/>
          <w:szCs w:val="32"/>
          <w:lang w:eastAsia="zh-CN"/>
        </w:rPr>
      </w:pPr>
      <w:r>
        <w:rPr>
          <w:rFonts w:ascii="Times New Roman" w:hAnsi="Times New Roman" w:eastAsia="黑体" w:cs="黑体"/>
          <w:spacing w:val="4"/>
          <w:sz w:val="32"/>
          <w:szCs w:val="32"/>
          <w:lang w:eastAsia="zh-CN"/>
        </w:rPr>
        <w:t>四、选拔流程</w:t>
      </w:r>
    </w:p>
    <w:p w14:paraId="03CADC07">
      <w:pPr>
        <w:pStyle w:val="2"/>
        <w:spacing w:before="246" w:line="221" w:lineRule="auto"/>
        <w:jc w:val="both"/>
        <w:rPr>
          <w:rFonts w:ascii="Times New Roman" w:hAnsi="Times New Roman"/>
          <w:sz w:val="32"/>
          <w:szCs w:val="32"/>
          <w:lang w:eastAsia="zh-CN"/>
        </w:rPr>
      </w:pPr>
      <w:r>
        <w:rPr>
          <w:rFonts w:ascii="Times New Roman" w:hAnsi="Times New Roman"/>
          <w:sz w:val="32"/>
          <w:szCs w:val="32"/>
          <w:lang w:eastAsia="zh-CN"/>
        </w:rPr>
        <w:t>（</w:t>
      </w:r>
      <w:r>
        <w:rPr>
          <w:rFonts w:ascii="Times New Roman" w:hAnsi="Times New Roman"/>
          <w:spacing w:val="-71"/>
          <w:sz w:val="32"/>
          <w:szCs w:val="32"/>
          <w:lang w:eastAsia="zh-CN"/>
        </w:rPr>
        <w:t xml:space="preserve"> </w:t>
      </w:r>
      <w:r>
        <w:rPr>
          <w:rFonts w:ascii="Times New Roman" w:hAnsi="Times New Roman"/>
          <w:sz w:val="32"/>
          <w:szCs w:val="32"/>
          <w:lang w:eastAsia="zh-CN"/>
        </w:rPr>
        <w:t>一）确定复试名单</w:t>
      </w:r>
    </w:p>
    <w:p w14:paraId="63468575">
      <w:pPr>
        <w:spacing w:line="221" w:lineRule="auto"/>
        <w:jc w:val="both"/>
        <w:rPr>
          <w:rFonts w:ascii="Times New Roman" w:hAnsi="Times New Roman"/>
          <w:lang w:eastAsia="zh-CN"/>
        </w:rPr>
      </w:pPr>
    </w:p>
    <w:p w14:paraId="56DF19BC">
      <w:pPr>
        <w:pStyle w:val="8"/>
        <w:spacing w:line="360" w:lineRule="auto"/>
        <w:jc w:val="both"/>
        <w:rPr>
          <w:rFonts w:ascii="Times New Roman" w:hAnsi="Times New Roman"/>
          <w:lang w:eastAsia="zh-CN"/>
        </w:rPr>
      </w:pPr>
      <w:r>
        <w:rPr>
          <w:rFonts w:hint="eastAsia" w:ascii="Times New Roman" w:hAnsi="Times New Roman"/>
          <w:lang w:eastAsia="zh-CN"/>
        </w:rPr>
        <w:t>1. 学院公布各专业接收计划信息。</w:t>
      </w:r>
    </w:p>
    <w:p w14:paraId="5844D456">
      <w:pPr>
        <w:pStyle w:val="8"/>
        <w:spacing w:line="360" w:lineRule="auto"/>
        <w:jc w:val="both"/>
        <w:rPr>
          <w:rFonts w:ascii="Times New Roman" w:hAnsi="Times New Roman"/>
          <w:lang w:eastAsia="zh-CN"/>
        </w:rPr>
      </w:pPr>
      <w:r>
        <w:rPr>
          <w:rFonts w:hint="eastAsia" w:ascii="Times New Roman" w:hAnsi="Times New Roman"/>
          <w:lang w:eastAsia="zh-CN"/>
        </w:rPr>
        <w:t>2. 学生登录教学管理信息系统在线提交申请，由我院根据“转入基本申请条件”进行初审。</w:t>
      </w:r>
    </w:p>
    <w:p w14:paraId="4D2E51C3">
      <w:pPr>
        <w:widowControl w:val="0"/>
        <w:spacing w:line="360" w:lineRule="auto"/>
        <w:ind w:firstLine="640" w:firstLineChars="200"/>
        <w:jc w:val="both"/>
        <w:rPr>
          <w:rFonts w:ascii="Times New Roman" w:hAnsi="Times New Roman" w:eastAsia="仿宋" w:cs="仿宋"/>
          <w:sz w:val="32"/>
          <w:szCs w:val="32"/>
          <w:lang w:eastAsia="zh-CN"/>
        </w:rPr>
      </w:pPr>
      <w:r>
        <w:rPr>
          <w:rFonts w:hint="eastAsia" w:ascii="Times New Roman" w:hAnsi="Times New Roman" w:eastAsia="仿宋" w:cs="仿宋"/>
          <w:sz w:val="32"/>
          <w:szCs w:val="32"/>
          <w:lang w:eastAsia="zh-CN"/>
        </w:rPr>
        <w:t>3. 学院向通过初审的学生发布复试通知，由学生本人确认是否参加。</w:t>
      </w:r>
    </w:p>
    <w:p w14:paraId="290111A5">
      <w:pPr>
        <w:widowControl w:val="0"/>
        <w:spacing w:line="360" w:lineRule="auto"/>
        <w:jc w:val="both"/>
        <w:rPr>
          <w:rFonts w:ascii="Times New Roman" w:hAnsi="Times New Roman" w:eastAsia="仿宋" w:cs="仿宋"/>
          <w:spacing w:val="1"/>
          <w:sz w:val="32"/>
          <w:szCs w:val="32"/>
          <w:lang w:eastAsia="zh-CN"/>
        </w:rPr>
      </w:pPr>
      <w:r>
        <w:rPr>
          <w:rFonts w:hint="eastAsia" w:ascii="Times New Roman" w:hAnsi="Times New Roman" w:eastAsia="仿宋" w:cs="仿宋"/>
          <w:spacing w:val="1"/>
          <w:sz w:val="32"/>
          <w:szCs w:val="32"/>
          <w:lang w:eastAsia="zh-CN"/>
        </w:rPr>
        <w:t>（</w:t>
      </w:r>
      <w:r>
        <w:rPr>
          <w:rFonts w:hint="eastAsia" w:ascii="Times New Roman" w:hAnsi="Times New Roman" w:eastAsia="仿宋" w:cs="仿宋"/>
          <w:spacing w:val="-80"/>
          <w:sz w:val="32"/>
          <w:szCs w:val="32"/>
          <w:lang w:eastAsia="zh-CN"/>
        </w:rPr>
        <w:t xml:space="preserve"> </w:t>
      </w:r>
      <w:r>
        <w:rPr>
          <w:rFonts w:hint="eastAsia" w:ascii="Times New Roman" w:hAnsi="Times New Roman" w:eastAsia="仿宋" w:cs="仿宋"/>
          <w:spacing w:val="1"/>
          <w:sz w:val="32"/>
          <w:szCs w:val="32"/>
          <w:lang w:eastAsia="zh-CN"/>
        </w:rPr>
        <w:t>二）复试考核形式</w:t>
      </w:r>
    </w:p>
    <w:p w14:paraId="2F4A20A7">
      <w:pPr>
        <w:pStyle w:val="8"/>
        <w:kinsoku/>
        <w:spacing w:line="360" w:lineRule="auto"/>
        <w:rPr>
          <w:rFonts w:hint="eastAsia"/>
          <w:lang w:eastAsia="zh-CN"/>
        </w:rPr>
      </w:pPr>
      <w:r>
        <w:rPr>
          <w:rFonts w:hint="eastAsia"/>
          <w:lang w:eastAsia="zh-CN"/>
        </w:rPr>
        <w:t>学院发布复试通知，组织申请转入的学生以面试的形式进行考核。人均面试时长8-10分钟。</w:t>
      </w:r>
    </w:p>
    <w:p w14:paraId="3F816754">
      <w:pPr>
        <w:pStyle w:val="8"/>
        <w:kinsoku/>
        <w:spacing w:line="360" w:lineRule="auto"/>
        <w:rPr>
          <w:rFonts w:hint="eastAsia"/>
          <w:lang w:eastAsia="zh-CN"/>
        </w:rPr>
      </w:pPr>
      <w:r>
        <w:rPr>
          <w:rFonts w:hint="eastAsia"/>
          <w:lang w:eastAsia="zh-CN"/>
        </w:rPr>
        <w:t>面试考核内容：</w:t>
      </w:r>
    </w:p>
    <w:tbl>
      <w:tblPr>
        <w:tblStyle w:val="5"/>
        <w:tblpPr w:leftFromText="180" w:rightFromText="180" w:vertAnchor="text" w:horzAnchor="page" w:tblpX="1827" w:tblpY="1460"/>
        <w:tblOverlap w:val="never"/>
        <w:tblW w:w="8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04"/>
        <w:gridCol w:w="1405"/>
        <w:gridCol w:w="1463"/>
        <w:gridCol w:w="1463"/>
        <w:gridCol w:w="1100"/>
      </w:tblGrid>
      <w:tr w14:paraId="7DC2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C881864">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评分标准</w:t>
            </w:r>
          </w:p>
        </w:tc>
        <w:tc>
          <w:tcPr>
            <w:tcW w:w="1804" w:type="dxa"/>
            <w:vAlign w:val="center"/>
          </w:tcPr>
          <w:p w14:paraId="3F1F25A5">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密码与网络空间安全学科基础</w:t>
            </w:r>
          </w:p>
        </w:tc>
        <w:tc>
          <w:tcPr>
            <w:tcW w:w="1405" w:type="dxa"/>
            <w:vAlign w:val="center"/>
          </w:tcPr>
          <w:p w14:paraId="115FC423">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编程能力</w:t>
            </w:r>
          </w:p>
        </w:tc>
        <w:tc>
          <w:tcPr>
            <w:tcW w:w="1463" w:type="dxa"/>
            <w:vAlign w:val="center"/>
          </w:tcPr>
          <w:p w14:paraId="58C6A166">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外语能力</w:t>
            </w:r>
          </w:p>
        </w:tc>
        <w:tc>
          <w:tcPr>
            <w:tcW w:w="1463" w:type="dxa"/>
            <w:vAlign w:val="center"/>
          </w:tcPr>
          <w:p w14:paraId="484E37AB">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综合素质</w:t>
            </w:r>
          </w:p>
        </w:tc>
        <w:tc>
          <w:tcPr>
            <w:tcW w:w="1100" w:type="dxa"/>
            <w:vAlign w:val="center"/>
          </w:tcPr>
          <w:p w14:paraId="44DC1423">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总分</w:t>
            </w:r>
          </w:p>
        </w:tc>
      </w:tr>
      <w:tr w14:paraId="4987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vAlign w:val="center"/>
          </w:tcPr>
          <w:p w14:paraId="6BCD69D9">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分值</w:t>
            </w:r>
          </w:p>
        </w:tc>
        <w:tc>
          <w:tcPr>
            <w:tcW w:w="1804" w:type="dxa"/>
            <w:vAlign w:val="center"/>
          </w:tcPr>
          <w:p w14:paraId="37BFACA9">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30</w:t>
            </w:r>
          </w:p>
        </w:tc>
        <w:tc>
          <w:tcPr>
            <w:tcW w:w="1405" w:type="dxa"/>
            <w:vAlign w:val="center"/>
          </w:tcPr>
          <w:p w14:paraId="76CAB5C5">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20</w:t>
            </w:r>
          </w:p>
        </w:tc>
        <w:tc>
          <w:tcPr>
            <w:tcW w:w="1463" w:type="dxa"/>
            <w:vAlign w:val="center"/>
          </w:tcPr>
          <w:p w14:paraId="639355A7">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10</w:t>
            </w:r>
          </w:p>
        </w:tc>
        <w:tc>
          <w:tcPr>
            <w:tcW w:w="1463" w:type="dxa"/>
            <w:vAlign w:val="center"/>
          </w:tcPr>
          <w:p w14:paraId="2FA2DD50">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40</w:t>
            </w:r>
          </w:p>
        </w:tc>
        <w:tc>
          <w:tcPr>
            <w:tcW w:w="1100" w:type="dxa"/>
            <w:vAlign w:val="center"/>
          </w:tcPr>
          <w:p w14:paraId="5E0F0E83">
            <w:pPr>
              <w:pStyle w:val="8"/>
              <w:widowControl/>
              <w:kinsoku/>
              <w:ind w:firstLine="0" w:firstLineChars="0"/>
              <w:jc w:val="center"/>
              <w:rPr>
                <w:rFonts w:ascii="Times New Roman" w:hAnsi="Times New Roman"/>
                <w:sz w:val="28"/>
                <w:szCs w:val="28"/>
                <w:lang w:eastAsia="zh-CN"/>
              </w:rPr>
            </w:pPr>
            <w:r>
              <w:rPr>
                <w:rFonts w:hint="eastAsia" w:ascii="Times New Roman" w:hAnsi="Times New Roman"/>
                <w:sz w:val="28"/>
                <w:szCs w:val="28"/>
                <w:lang w:eastAsia="zh-CN"/>
              </w:rPr>
              <w:t>100</w:t>
            </w:r>
          </w:p>
        </w:tc>
      </w:tr>
    </w:tbl>
    <w:p w14:paraId="66AE2D3F">
      <w:pPr>
        <w:pStyle w:val="8"/>
        <w:kinsoku/>
        <w:spacing w:line="360" w:lineRule="auto"/>
        <w:rPr>
          <w:rFonts w:hint="eastAsia"/>
          <w:lang w:eastAsia="zh-CN"/>
        </w:rPr>
      </w:pPr>
      <w:r>
        <w:rPr>
          <w:rFonts w:hint="eastAsia"/>
          <w:lang w:eastAsia="zh-CN"/>
        </w:rPr>
        <w:t>密码与网络空间安全学科基础、编程能力、外语能力、综合素质。</w:t>
      </w:r>
    </w:p>
    <w:p w14:paraId="387D78A2">
      <w:pPr>
        <w:pStyle w:val="2"/>
        <w:spacing w:line="360" w:lineRule="auto"/>
        <w:jc w:val="both"/>
        <w:rPr>
          <w:rFonts w:hint="eastAsia" w:ascii="Times New Roman" w:hAnsi="Times New Roman"/>
          <w:spacing w:val="-8"/>
          <w:sz w:val="32"/>
          <w:szCs w:val="32"/>
          <w:lang w:eastAsia="zh-CN"/>
        </w:rPr>
      </w:pPr>
    </w:p>
    <w:p w14:paraId="00B4E917">
      <w:pPr>
        <w:pStyle w:val="2"/>
        <w:spacing w:line="360" w:lineRule="auto"/>
        <w:jc w:val="both"/>
        <w:rPr>
          <w:rFonts w:ascii="Times New Roman" w:hAnsi="Times New Roman"/>
          <w:sz w:val="32"/>
          <w:szCs w:val="32"/>
        </w:rPr>
      </w:pPr>
      <w:r>
        <w:rPr>
          <w:rFonts w:ascii="Times New Roman" w:hAnsi="Times New Roman"/>
          <w:spacing w:val="-8"/>
          <w:sz w:val="32"/>
          <w:szCs w:val="32"/>
        </w:rPr>
        <w:t>（</w:t>
      </w:r>
      <w:r>
        <w:rPr>
          <w:rFonts w:ascii="Times New Roman" w:hAnsi="Times New Roman"/>
          <w:spacing w:val="-73"/>
          <w:sz w:val="32"/>
          <w:szCs w:val="32"/>
        </w:rPr>
        <w:t xml:space="preserve"> </w:t>
      </w:r>
      <w:r>
        <w:rPr>
          <w:rFonts w:ascii="Times New Roman" w:hAnsi="Times New Roman"/>
          <w:spacing w:val="-8"/>
          <w:sz w:val="32"/>
          <w:szCs w:val="32"/>
        </w:rPr>
        <w:t>三）录取</w:t>
      </w:r>
    </w:p>
    <w:p w14:paraId="55D68739">
      <w:pPr>
        <w:pStyle w:val="2"/>
        <w:numPr>
          <w:ilvl w:val="0"/>
          <w:numId w:val="2"/>
        </w:numPr>
        <w:spacing w:line="360" w:lineRule="auto"/>
        <w:ind w:firstLine="664" w:firstLineChars="200"/>
        <w:jc w:val="both"/>
        <w:rPr>
          <w:rFonts w:ascii="Times New Roman" w:hAnsi="Times New Roman"/>
          <w:spacing w:val="6"/>
          <w:position w:val="1"/>
          <w:sz w:val="32"/>
          <w:szCs w:val="32"/>
        </w:rPr>
      </w:pPr>
      <w:r>
        <w:rPr>
          <w:rFonts w:ascii="Times New Roman" w:hAnsi="Times New Roman"/>
          <w:spacing w:val="6"/>
          <w:position w:val="1"/>
          <w:sz w:val="32"/>
          <w:szCs w:val="32"/>
        </w:rPr>
        <w:t>录取成绩计算规则</w:t>
      </w:r>
    </w:p>
    <w:p w14:paraId="380EE561">
      <w:pPr>
        <w:pStyle w:val="2"/>
        <w:kinsoku/>
        <w:spacing w:line="360" w:lineRule="auto"/>
        <w:ind w:firstLine="664" w:firstLineChars="200"/>
        <w:jc w:val="both"/>
        <w:rPr>
          <w:rFonts w:ascii="Times New Roman" w:hAnsi="Times New Roman"/>
          <w:spacing w:val="6"/>
          <w:position w:val="1"/>
          <w:sz w:val="32"/>
          <w:szCs w:val="32"/>
          <w:lang w:eastAsia="zh-CN"/>
        </w:rPr>
      </w:pPr>
      <w:r>
        <w:rPr>
          <w:rFonts w:hint="eastAsia" w:ascii="Times New Roman" w:hAnsi="Times New Roman"/>
          <w:spacing w:val="6"/>
          <w:position w:val="1"/>
          <w:sz w:val="32"/>
          <w:szCs w:val="32"/>
          <w:lang w:eastAsia="zh-CN"/>
        </w:rPr>
        <w:t>录取参考复试成绩，低于60分者为不合格，不予接收。若合格人数超过接收名额，则按复试成绩排序，成绩高者优先接收。</w:t>
      </w:r>
    </w:p>
    <w:p w14:paraId="35FCB0B0">
      <w:pPr>
        <w:pStyle w:val="2"/>
        <w:spacing w:line="360" w:lineRule="auto"/>
        <w:ind w:firstLine="664" w:firstLineChars="200"/>
        <w:jc w:val="both"/>
        <w:rPr>
          <w:rFonts w:ascii="Times New Roman" w:hAnsi="Times New Roman"/>
          <w:sz w:val="32"/>
          <w:szCs w:val="32"/>
          <w:lang w:eastAsia="zh-CN"/>
        </w:rPr>
      </w:pPr>
      <w:r>
        <w:rPr>
          <w:rFonts w:hint="eastAsia" w:ascii="Times New Roman" w:hAnsi="Times New Roman" w:eastAsia="宋体" w:cs="Times New Roman"/>
          <w:spacing w:val="6"/>
          <w:position w:val="2"/>
          <w:sz w:val="32"/>
          <w:szCs w:val="32"/>
          <w:lang w:eastAsia="zh-CN"/>
        </w:rPr>
        <w:t>2</w:t>
      </w:r>
      <w:r>
        <w:rPr>
          <w:rFonts w:ascii="Times New Roman" w:hAnsi="Times New Roman" w:eastAsia="Times New Roman" w:cs="Times New Roman"/>
          <w:spacing w:val="6"/>
          <w:position w:val="2"/>
          <w:sz w:val="32"/>
          <w:szCs w:val="32"/>
          <w:lang w:eastAsia="zh-CN"/>
        </w:rPr>
        <w:t xml:space="preserve">. </w:t>
      </w:r>
      <w:r>
        <w:rPr>
          <w:rFonts w:ascii="Times New Roman" w:hAnsi="Times New Roman"/>
          <w:spacing w:val="6"/>
          <w:position w:val="2"/>
          <w:sz w:val="32"/>
          <w:szCs w:val="32"/>
          <w:lang w:eastAsia="zh-CN"/>
        </w:rPr>
        <w:t>拟录取名单公示</w:t>
      </w:r>
    </w:p>
    <w:p w14:paraId="700CF7C2">
      <w:pPr>
        <w:pStyle w:val="2"/>
        <w:spacing w:line="360" w:lineRule="auto"/>
        <w:ind w:firstLine="640" w:firstLineChars="200"/>
        <w:jc w:val="both"/>
        <w:rPr>
          <w:rFonts w:hint="eastAsia"/>
          <w:sz w:val="32"/>
          <w:szCs w:val="32"/>
          <w:lang w:eastAsia="zh-CN"/>
        </w:rPr>
      </w:pPr>
      <w:r>
        <w:rPr>
          <w:rFonts w:hint="eastAsia"/>
          <w:sz w:val="32"/>
          <w:szCs w:val="32"/>
          <w:lang w:eastAsia="zh-CN"/>
        </w:rPr>
        <w:t>拟录取名单将在学院网络主页和学院公告栏进行公示，公示期不少于三天。</w:t>
      </w:r>
    </w:p>
    <w:p w14:paraId="7032BE89">
      <w:pPr>
        <w:numPr>
          <w:ilvl w:val="0"/>
          <w:numId w:val="3"/>
        </w:numPr>
        <w:spacing w:before="254" w:line="360" w:lineRule="auto"/>
        <w:ind w:left="16"/>
        <w:jc w:val="both"/>
        <w:rPr>
          <w:rFonts w:ascii="Times New Roman" w:hAnsi="Times New Roman" w:eastAsia="黑体" w:cs="黑体"/>
          <w:spacing w:val="8"/>
          <w:sz w:val="32"/>
          <w:szCs w:val="32"/>
          <w:lang w:eastAsia="zh-CN"/>
        </w:rPr>
      </w:pPr>
      <w:r>
        <w:rPr>
          <w:rFonts w:ascii="Times New Roman" w:hAnsi="Times New Roman" w:eastAsia="黑体" w:cs="黑体"/>
          <w:spacing w:val="8"/>
          <w:sz w:val="32"/>
          <w:szCs w:val="32"/>
          <w:lang w:eastAsia="zh-CN"/>
        </w:rPr>
        <w:t>争议情况处理及解释权归属</w:t>
      </w:r>
    </w:p>
    <w:p w14:paraId="6989FB08">
      <w:pPr>
        <w:pStyle w:val="2"/>
        <w:spacing w:line="360" w:lineRule="auto"/>
        <w:ind w:firstLine="640" w:firstLineChars="200"/>
        <w:rPr>
          <w:rFonts w:hint="eastAsia"/>
          <w:sz w:val="32"/>
          <w:szCs w:val="32"/>
          <w:lang w:eastAsia="zh-CN"/>
        </w:rPr>
      </w:pPr>
      <w:r>
        <w:rPr>
          <w:rFonts w:hint="eastAsia"/>
          <w:sz w:val="32"/>
          <w:szCs w:val="32"/>
          <w:lang w:eastAsia="zh-CN"/>
        </w:rPr>
        <w:t>如申请学生对结果存在异议，可在公示期内向密码与网络空间安全学院本科教学办公室提出书面复议申请，由密码与网络空间安全学院转专业领导小组进行复核，本细则由密码与网络空间安全学院负责解释。</w:t>
      </w:r>
    </w:p>
    <w:p w14:paraId="35D5C166">
      <w:pPr>
        <w:pStyle w:val="2"/>
        <w:spacing w:line="360" w:lineRule="auto"/>
        <w:ind w:firstLine="640" w:firstLineChars="200"/>
        <w:rPr>
          <w:rFonts w:hint="eastAsia"/>
          <w:sz w:val="32"/>
          <w:szCs w:val="32"/>
          <w:lang w:eastAsia="zh-CN"/>
        </w:rPr>
      </w:pPr>
      <w:r>
        <w:rPr>
          <w:rFonts w:hint="eastAsia"/>
          <w:sz w:val="32"/>
          <w:szCs w:val="32"/>
          <w:lang w:eastAsia="zh-CN"/>
        </w:rPr>
        <w:t>联系电话：022-23503393 王老师</w:t>
      </w:r>
    </w:p>
    <w:p w14:paraId="201B929F">
      <w:pPr>
        <w:jc w:val="both"/>
        <w:rPr>
          <w:rFonts w:ascii="Times New Roman" w:hAnsi="Times New Roman" w:eastAsia="仿宋" w:cs="仿宋"/>
          <w:spacing w:val="8"/>
          <w:sz w:val="32"/>
          <w:szCs w:val="32"/>
          <w:lang w:eastAsia="zh-CN"/>
        </w:rPr>
      </w:pPr>
      <w:r>
        <w:rPr>
          <w:rFonts w:hint="eastAsia" w:ascii="Times New Roman" w:hAnsi="Times New Roman" w:eastAsia="仿宋" w:cs="仿宋"/>
          <w:spacing w:val="8"/>
          <w:sz w:val="32"/>
          <w:szCs w:val="32"/>
          <w:lang w:eastAsia="zh-CN"/>
        </w:rPr>
        <w:br w:type="page"/>
      </w:r>
    </w:p>
    <w:p w14:paraId="60684569">
      <w:pPr>
        <w:spacing w:before="254" w:line="227" w:lineRule="auto"/>
        <w:jc w:val="both"/>
        <w:rPr>
          <w:rFonts w:ascii="Times New Roman" w:hAnsi="Times New Roman" w:eastAsia="黑体" w:cs="黑体"/>
          <w:sz w:val="32"/>
          <w:szCs w:val="32"/>
          <w:lang w:eastAsia="zh-CN"/>
        </w:rPr>
      </w:pPr>
      <w:r>
        <w:rPr>
          <w:rFonts w:ascii="Times New Roman" w:hAnsi="Times New Roman"/>
          <w:spacing w:val="1"/>
          <w:sz w:val="32"/>
          <w:szCs w:val="32"/>
          <w:lang w:eastAsia="zh-CN"/>
        </w:rPr>
        <w:t xml:space="preserve"> </w:t>
      </w:r>
      <w:r>
        <w:rPr>
          <w:rFonts w:ascii="Times New Roman" w:hAnsi="Times New Roman" w:eastAsia="黑体" w:cs="黑体"/>
          <w:spacing w:val="6"/>
          <w:sz w:val="32"/>
          <w:szCs w:val="32"/>
          <w:lang w:eastAsia="zh-CN"/>
        </w:rPr>
        <w:t>六、接收计划</w:t>
      </w:r>
    </w:p>
    <w:p w14:paraId="791F9D72">
      <w:pPr>
        <w:spacing w:line="115" w:lineRule="exact"/>
        <w:jc w:val="both"/>
        <w:rPr>
          <w:rFonts w:ascii="Times New Roman" w:hAnsi="Times New Roman"/>
          <w:lang w:eastAsia="zh-CN"/>
        </w:rPr>
      </w:pPr>
    </w:p>
    <w:tbl>
      <w:tblPr>
        <w:tblStyle w:val="7"/>
        <w:tblW w:w="8145"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27"/>
        <w:gridCol w:w="1798"/>
        <w:gridCol w:w="1230"/>
        <w:gridCol w:w="1590"/>
      </w:tblGrid>
      <w:tr w14:paraId="1201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3FA8B255">
            <w:pPr>
              <w:spacing w:line="223" w:lineRule="auto"/>
              <w:jc w:val="center"/>
              <w:rPr>
                <w:rFonts w:ascii="Times New Roman" w:hAnsi="Times New Roman" w:eastAsia="仿宋" w:cs="仿宋"/>
                <w:sz w:val="31"/>
                <w:szCs w:val="31"/>
              </w:rPr>
            </w:pPr>
            <w:r>
              <w:rPr>
                <w:rFonts w:ascii="Times New Roman" w:hAnsi="Times New Roman" w:eastAsia="仿宋" w:cs="仿宋"/>
                <w:spacing w:val="6"/>
                <w:sz w:val="31"/>
                <w:szCs w:val="31"/>
              </w:rPr>
              <w:t>接收专业</w:t>
            </w:r>
            <w:r>
              <w:rPr>
                <w:rFonts w:ascii="Times New Roman" w:hAnsi="Times New Roman" w:eastAsia="仿宋" w:cs="仿宋"/>
                <w:spacing w:val="-2"/>
                <w:sz w:val="31"/>
                <w:szCs w:val="31"/>
              </w:rPr>
              <w:t>（含大类）</w:t>
            </w:r>
          </w:p>
        </w:tc>
        <w:tc>
          <w:tcPr>
            <w:tcW w:w="1798" w:type="dxa"/>
            <w:vAlign w:val="center"/>
          </w:tcPr>
          <w:p w14:paraId="23E189CD">
            <w:pPr>
              <w:spacing w:before="101" w:line="222" w:lineRule="auto"/>
              <w:jc w:val="center"/>
              <w:rPr>
                <w:rFonts w:ascii="Times New Roman" w:hAnsi="Times New Roman" w:eastAsia="仿宋" w:cs="仿宋"/>
                <w:sz w:val="31"/>
                <w:szCs w:val="31"/>
              </w:rPr>
            </w:pPr>
            <w:r>
              <w:rPr>
                <w:rFonts w:ascii="Times New Roman" w:hAnsi="Times New Roman" w:eastAsia="仿宋" w:cs="仿宋"/>
                <w:spacing w:val="6"/>
                <w:sz w:val="31"/>
                <w:szCs w:val="31"/>
              </w:rPr>
              <w:t>接收年级</w:t>
            </w:r>
          </w:p>
        </w:tc>
        <w:tc>
          <w:tcPr>
            <w:tcW w:w="1230" w:type="dxa"/>
            <w:vAlign w:val="center"/>
          </w:tcPr>
          <w:p w14:paraId="6AED83B1">
            <w:pPr>
              <w:spacing w:before="171" w:line="339" w:lineRule="auto"/>
              <w:ind w:left="22" w:right="5" w:hanging="2"/>
              <w:jc w:val="center"/>
              <w:rPr>
                <w:rFonts w:ascii="Times New Roman" w:hAnsi="Times New Roman" w:eastAsia="仿宋" w:cs="仿宋"/>
                <w:sz w:val="31"/>
                <w:szCs w:val="31"/>
              </w:rPr>
            </w:pPr>
            <w:r>
              <w:rPr>
                <w:rFonts w:ascii="Times New Roman" w:hAnsi="Times New Roman" w:eastAsia="仿宋" w:cs="仿宋"/>
                <w:spacing w:val="-7"/>
                <w:sz w:val="31"/>
                <w:szCs w:val="31"/>
              </w:rPr>
              <w:t>接收人数</w:t>
            </w:r>
          </w:p>
        </w:tc>
        <w:tc>
          <w:tcPr>
            <w:tcW w:w="1590" w:type="dxa"/>
            <w:vAlign w:val="center"/>
          </w:tcPr>
          <w:p w14:paraId="54FD0B6A">
            <w:pPr>
              <w:spacing w:before="101" w:line="225" w:lineRule="auto"/>
              <w:jc w:val="center"/>
              <w:rPr>
                <w:rFonts w:ascii="Times New Roman" w:hAnsi="Times New Roman" w:eastAsia="仿宋" w:cs="仿宋"/>
                <w:sz w:val="31"/>
                <w:szCs w:val="31"/>
              </w:rPr>
            </w:pPr>
            <w:r>
              <w:rPr>
                <w:rFonts w:ascii="Times New Roman" w:hAnsi="Times New Roman" w:eastAsia="仿宋" w:cs="仿宋"/>
                <w:sz w:val="31"/>
                <w:szCs w:val="31"/>
              </w:rPr>
              <w:t>备注</w:t>
            </w:r>
          </w:p>
        </w:tc>
      </w:tr>
      <w:tr w14:paraId="051D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61801007">
            <w:pPr>
              <w:jc w:val="center"/>
              <w:rPr>
                <w:rFonts w:hint="eastAsia" w:ascii="仿宋" w:hAnsi="仿宋" w:eastAsia="仿宋" w:cs="仿宋"/>
                <w:lang w:eastAsia="zh-CN"/>
              </w:rPr>
            </w:pPr>
            <w:r>
              <w:rPr>
                <w:rFonts w:hint="eastAsia" w:ascii="仿宋" w:hAnsi="仿宋" w:eastAsia="仿宋" w:cs="仿宋"/>
                <w:sz w:val="31"/>
                <w:szCs w:val="31"/>
                <w:lang w:eastAsia="zh-CN"/>
              </w:rPr>
              <w:t>信息安全、法学双学位班</w:t>
            </w:r>
          </w:p>
        </w:tc>
        <w:tc>
          <w:tcPr>
            <w:tcW w:w="1798" w:type="dxa"/>
            <w:vAlign w:val="center"/>
          </w:tcPr>
          <w:p w14:paraId="36787AB8">
            <w:pPr>
              <w:spacing w:line="419" w:lineRule="exact"/>
              <w:jc w:val="center"/>
              <w:rPr>
                <w:rFonts w:ascii="Times New Roman" w:hAnsi="Times New Roman" w:eastAsia="仿宋" w:cs="仿宋"/>
                <w:sz w:val="31"/>
                <w:szCs w:val="31"/>
              </w:rPr>
            </w:pPr>
            <w:r>
              <w:rPr>
                <w:rFonts w:ascii="Times New Roman" w:hAnsi="Times New Roman" w:eastAsia="Times New Roman" w:cs="Times New Roman"/>
                <w:spacing w:val="2"/>
                <w:position w:val="2"/>
                <w:sz w:val="31"/>
                <w:szCs w:val="31"/>
              </w:rPr>
              <w:t>202</w:t>
            </w:r>
            <w:r>
              <w:rPr>
                <w:rFonts w:hint="eastAsia" w:ascii="Times New Roman" w:hAnsi="Times New Roman" w:eastAsia="宋体" w:cs="Times New Roman"/>
                <w:spacing w:val="2"/>
                <w:position w:val="2"/>
                <w:sz w:val="31"/>
                <w:szCs w:val="31"/>
                <w:lang w:eastAsia="zh-CN"/>
              </w:rPr>
              <w:t>5</w:t>
            </w:r>
            <w:r>
              <w:rPr>
                <w:rFonts w:ascii="Times New Roman" w:hAnsi="Times New Roman" w:eastAsia="仿宋" w:cs="仿宋"/>
                <w:spacing w:val="2"/>
                <w:position w:val="2"/>
                <w:sz w:val="31"/>
                <w:szCs w:val="31"/>
              </w:rPr>
              <w:t>级</w:t>
            </w:r>
          </w:p>
        </w:tc>
        <w:tc>
          <w:tcPr>
            <w:tcW w:w="1230" w:type="dxa"/>
            <w:vAlign w:val="center"/>
          </w:tcPr>
          <w:p w14:paraId="439ADBC3">
            <w:pPr>
              <w:jc w:val="center"/>
              <w:rPr>
                <w:rFonts w:ascii="Times New Roman" w:hAnsi="Times New Roman" w:eastAsia="宋体"/>
                <w:lang w:eastAsia="zh-CN"/>
              </w:rPr>
            </w:pPr>
            <w:r>
              <w:rPr>
                <w:rFonts w:hint="eastAsia" w:ascii="Times New Roman" w:hAnsi="Times New Roman" w:eastAsia="宋体"/>
                <w:sz w:val="31"/>
                <w:szCs w:val="31"/>
                <w:lang w:eastAsia="zh-CN"/>
              </w:rPr>
              <w:t>2</w:t>
            </w:r>
          </w:p>
        </w:tc>
        <w:tc>
          <w:tcPr>
            <w:tcW w:w="1590" w:type="dxa"/>
            <w:vAlign w:val="center"/>
          </w:tcPr>
          <w:p w14:paraId="37B41ADE">
            <w:pPr>
              <w:jc w:val="center"/>
              <w:rPr>
                <w:rFonts w:ascii="Times New Roman" w:hAnsi="Times New Roman"/>
              </w:rPr>
            </w:pPr>
          </w:p>
        </w:tc>
      </w:tr>
      <w:tr w14:paraId="5091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3BC3B42A">
            <w:pPr>
              <w:jc w:val="center"/>
              <w:rPr>
                <w:rFonts w:hint="eastAsia" w:ascii="仿宋" w:hAnsi="仿宋" w:eastAsia="仿宋" w:cs="仿宋"/>
                <w:sz w:val="31"/>
                <w:szCs w:val="31"/>
                <w:lang w:eastAsia="zh-CN"/>
              </w:rPr>
            </w:pPr>
            <w:r>
              <w:rPr>
                <w:rFonts w:hint="eastAsia" w:ascii="仿宋" w:hAnsi="仿宋" w:eastAsia="仿宋" w:cs="仿宋"/>
                <w:sz w:val="31"/>
                <w:szCs w:val="31"/>
                <w:lang w:eastAsia="zh-CN"/>
              </w:rPr>
              <w:t>信息安全</w:t>
            </w:r>
          </w:p>
        </w:tc>
        <w:tc>
          <w:tcPr>
            <w:tcW w:w="1798" w:type="dxa"/>
            <w:vAlign w:val="center"/>
          </w:tcPr>
          <w:p w14:paraId="10FD7F8B">
            <w:pPr>
              <w:spacing w:line="419" w:lineRule="exact"/>
              <w:jc w:val="center"/>
              <w:rPr>
                <w:rFonts w:ascii="Times New Roman" w:hAnsi="Times New Roman" w:eastAsia="Times New Roman" w:cs="Times New Roman"/>
                <w:spacing w:val="2"/>
                <w:position w:val="2"/>
                <w:sz w:val="31"/>
                <w:szCs w:val="31"/>
              </w:rPr>
            </w:pPr>
            <w:r>
              <w:rPr>
                <w:rFonts w:ascii="Times New Roman" w:hAnsi="Times New Roman" w:eastAsia="Times New Roman" w:cs="Times New Roman"/>
                <w:spacing w:val="2"/>
                <w:position w:val="2"/>
                <w:sz w:val="31"/>
                <w:szCs w:val="31"/>
              </w:rPr>
              <w:t>202</w:t>
            </w:r>
            <w:r>
              <w:rPr>
                <w:rFonts w:hint="eastAsia" w:ascii="Times New Roman" w:hAnsi="Times New Roman" w:eastAsia="宋体" w:cs="Times New Roman"/>
                <w:spacing w:val="2"/>
                <w:position w:val="2"/>
                <w:sz w:val="31"/>
                <w:szCs w:val="31"/>
                <w:lang w:eastAsia="zh-CN"/>
              </w:rPr>
              <w:t>5</w:t>
            </w:r>
            <w:r>
              <w:rPr>
                <w:rFonts w:ascii="Times New Roman" w:hAnsi="Times New Roman" w:eastAsia="仿宋" w:cs="仿宋"/>
                <w:spacing w:val="2"/>
                <w:position w:val="2"/>
                <w:sz w:val="31"/>
                <w:szCs w:val="31"/>
              </w:rPr>
              <w:t>级</w:t>
            </w:r>
          </w:p>
        </w:tc>
        <w:tc>
          <w:tcPr>
            <w:tcW w:w="1230" w:type="dxa"/>
            <w:vAlign w:val="center"/>
          </w:tcPr>
          <w:p w14:paraId="02FCD8FC">
            <w:pPr>
              <w:jc w:val="center"/>
              <w:rPr>
                <w:rFonts w:hint="default" w:ascii="Times New Roman" w:hAnsi="Times New Roman" w:eastAsia="宋体" w:cs="Times New Roman"/>
                <w:sz w:val="31"/>
                <w:szCs w:val="31"/>
                <w:lang w:val="en-US" w:eastAsia="zh-CN"/>
              </w:rPr>
            </w:pPr>
            <w:r>
              <w:rPr>
                <w:rFonts w:hint="eastAsia" w:ascii="Times New Roman" w:hAnsi="Times New Roman" w:eastAsia="宋体" w:cs="Times New Roman"/>
                <w:sz w:val="31"/>
                <w:szCs w:val="31"/>
                <w:lang w:val="en-US" w:eastAsia="zh-CN"/>
              </w:rPr>
              <w:t>10</w:t>
            </w:r>
          </w:p>
        </w:tc>
        <w:tc>
          <w:tcPr>
            <w:tcW w:w="1590" w:type="dxa"/>
            <w:vAlign w:val="center"/>
          </w:tcPr>
          <w:p w14:paraId="6606462B">
            <w:pPr>
              <w:jc w:val="center"/>
              <w:rPr>
                <w:rFonts w:ascii="Times New Roman" w:hAnsi="Times New Roman"/>
              </w:rPr>
            </w:pPr>
          </w:p>
        </w:tc>
      </w:tr>
      <w:tr w14:paraId="1824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01B72D31">
            <w:pPr>
              <w:jc w:val="center"/>
              <w:rPr>
                <w:rFonts w:hint="eastAsia" w:ascii="仿宋" w:hAnsi="仿宋" w:eastAsia="仿宋" w:cs="仿宋"/>
                <w:sz w:val="31"/>
                <w:szCs w:val="31"/>
                <w:lang w:eastAsia="zh-CN"/>
              </w:rPr>
            </w:pPr>
            <w:r>
              <w:rPr>
                <w:rFonts w:hint="eastAsia" w:ascii="仿宋" w:hAnsi="仿宋" w:eastAsia="仿宋" w:cs="仿宋"/>
                <w:sz w:val="31"/>
                <w:szCs w:val="31"/>
                <w:lang w:eastAsia="zh-CN"/>
              </w:rPr>
              <w:t>物联网工程</w:t>
            </w:r>
          </w:p>
        </w:tc>
        <w:tc>
          <w:tcPr>
            <w:tcW w:w="1798" w:type="dxa"/>
            <w:vAlign w:val="center"/>
          </w:tcPr>
          <w:p w14:paraId="7DEA8173">
            <w:pPr>
              <w:spacing w:line="419" w:lineRule="exact"/>
              <w:jc w:val="center"/>
              <w:rPr>
                <w:rFonts w:ascii="Times New Roman" w:hAnsi="Times New Roman" w:eastAsia="Times New Roman" w:cs="Times New Roman"/>
                <w:spacing w:val="2"/>
                <w:position w:val="2"/>
                <w:sz w:val="31"/>
                <w:szCs w:val="31"/>
              </w:rPr>
            </w:pPr>
            <w:r>
              <w:rPr>
                <w:rFonts w:ascii="Times New Roman" w:hAnsi="Times New Roman" w:eastAsia="Times New Roman" w:cs="Times New Roman"/>
                <w:spacing w:val="2"/>
                <w:position w:val="2"/>
                <w:sz w:val="31"/>
                <w:szCs w:val="31"/>
              </w:rPr>
              <w:t>202</w:t>
            </w:r>
            <w:r>
              <w:rPr>
                <w:rFonts w:hint="eastAsia" w:ascii="Times New Roman" w:hAnsi="Times New Roman" w:eastAsia="宋体" w:cs="Times New Roman"/>
                <w:spacing w:val="2"/>
                <w:position w:val="2"/>
                <w:sz w:val="31"/>
                <w:szCs w:val="31"/>
                <w:lang w:eastAsia="zh-CN"/>
              </w:rPr>
              <w:t>5</w:t>
            </w:r>
            <w:r>
              <w:rPr>
                <w:rFonts w:ascii="Times New Roman" w:hAnsi="Times New Roman" w:eastAsia="仿宋" w:cs="仿宋"/>
                <w:spacing w:val="2"/>
                <w:position w:val="2"/>
                <w:sz w:val="31"/>
                <w:szCs w:val="31"/>
              </w:rPr>
              <w:t>级</w:t>
            </w:r>
          </w:p>
        </w:tc>
        <w:tc>
          <w:tcPr>
            <w:tcW w:w="1230" w:type="dxa"/>
            <w:vAlign w:val="center"/>
          </w:tcPr>
          <w:p w14:paraId="18D882FE">
            <w:pPr>
              <w:jc w:val="center"/>
              <w:rPr>
                <w:rFonts w:ascii="Times New Roman" w:hAnsi="Times New Roman" w:eastAsia="宋体" w:cs="Times New Roman"/>
                <w:sz w:val="31"/>
                <w:szCs w:val="31"/>
                <w:lang w:eastAsia="zh-CN"/>
              </w:rPr>
            </w:pPr>
            <w:r>
              <w:rPr>
                <w:rFonts w:hint="eastAsia" w:ascii="Times New Roman" w:hAnsi="Times New Roman" w:eastAsia="宋体" w:cs="Times New Roman"/>
                <w:sz w:val="31"/>
                <w:szCs w:val="31"/>
                <w:lang w:eastAsia="zh-CN"/>
              </w:rPr>
              <w:t>10</w:t>
            </w:r>
          </w:p>
        </w:tc>
        <w:tc>
          <w:tcPr>
            <w:tcW w:w="1590" w:type="dxa"/>
            <w:vAlign w:val="center"/>
          </w:tcPr>
          <w:p w14:paraId="70BAC68C">
            <w:pPr>
              <w:jc w:val="center"/>
              <w:rPr>
                <w:rFonts w:ascii="Times New Roman" w:hAnsi="Times New Roman"/>
              </w:rPr>
            </w:pPr>
          </w:p>
        </w:tc>
      </w:tr>
      <w:tr w14:paraId="3CF32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0E040997">
            <w:pPr>
              <w:jc w:val="center"/>
              <w:rPr>
                <w:rFonts w:ascii="仿宋" w:hAnsi="仿宋" w:eastAsia="仿宋" w:cs="仿宋"/>
                <w:sz w:val="31"/>
                <w:szCs w:val="31"/>
                <w:lang w:eastAsia="zh-CN"/>
              </w:rPr>
            </w:pPr>
            <w:r>
              <w:rPr>
                <w:rFonts w:hint="eastAsia" w:ascii="仿宋" w:hAnsi="仿宋" w:eastAsia="仿宋" w:cs="仿宋"/>
                <w:sz w:val="31"/>
                <w:szCs w:val="31"/>
                <w:lang w:eastAsia="zh-CN"/>
              </w:rPr>
              <w:t>密码科学与技术</w:t>
            </w:r>
          </w:p>
          <w:p w14:paraId="710A02B1">
            <w:pPr>
              <w:jc w:val="center"/>
              <w:rPr>
                <w:rFonts w:hint="eastAsia" w:ascii="仿宋" w:hAnsi="仿宋" w:eastAsia="仿宋" w:cs="仿宋"/>
                <w:sz w:val="31"/>
                <w:szCs w:val="31"/>
                <w:lang w:eastAsia="zh-CN"/>
              </w:rPr>
            </w:pPr>
            <w:r>
              <w:rPr>
                <w:rFonts w:hint="eastAsia" w:ascii="仿宋" w:hAnsi="仿宋" w:eastAsia="仿宋" w:cs="仿宋"/>
                <w:sz w:val="31"/>
                <w:szCs w:val="31"/>
                <w:lang w:eastAsia="zh-CN"/>
              </w:rPr>
              <w:t>（豪密特色班）</w:t>
            </w:r>
          </w:p>
        </w:tc>
        <w:tc>
          <w:tcPr>
            <w:tcW w:w="1798" w:type="dxa"/>
            <w:vAlign w:val="center"/>
          </w:tcPr>
          <w:p w14:paraId="5D267985">
            <w:pPr>
              <w:spacing w:line="419" w:lineRule="exact"/>
              <w:jc w:val="center"/>
              <w:rPr>
                <w:rFonts w:ascii="Times New Roman" w:hAnsi="Times New Roman" w:eastAsia="Times New Roman" w:cs="Times New Roman"/>
                <w:spacing w:val="2"/>
                <w:position w:val="2"/>
                <w:sz w:val="31"/>
                <w:szCs w:val="31"/>
              </w:rPr>
            </w:pPr>
            <w:r>
              <w:rPr>
                <w:rFonts w:ascii="Times New Roman" w:hAnsi="Times New Roman" w:eastAsia="Times New Roman" w:cs="Times New Roman"/>
                <w:spacing w:val="2"/>
                <w:position w:val="2"/>
                <w:sz w:val="31"/>
                <w:szCs w:val="31"/>
              </w:rPr>
              <w:t>202</w:t>
            </w:r>
            <w:r>
              <w:rPr>
                <w:rFonts w:hint="eastAsia" w:ascii="Times New Roman" w:hAnsi="Times New Roman" w:eastAsia="宋体" w:cs="Times New Roman"/>
                <w:spacing w:val="2"/>
                <w:position w:val="2"/>
                <w:sz w:val="31"/>
                <w:szCs w:val="31"/>
                <w:lang w:eastAsia="zh-CN"/>
              </w:rPr>
              <w:t>5</w:t>
            </w:r>
            <w:r>
              <w:rPr>
                <w:rFonts w:ascii="Times New Roman" w:hAnsi="Times New Roman" w:eastAsia="仿宋" w:cs="仿宋"/>
                <w:spacing w:val="2"/>
                <w:position w:val="2"/>
                <w:sz w:val="31"/>
                <w:szCs w:val="31"/>
              </w:rPr>
              <w:t>级</w:t>
            </w:r>
          </w:p>
        </w:tc>
        <w:tc>
          <w:tcPr>
            <w:tcW w:w="1230" w:type="dxa"/>
            <w:vAlign w:val="center"/>
          </w:tcPr>
          <w:p w14:paraId="43E08186">
            <w:pPr>
              <w:jc w:val="center"/>
              <w:rPr>
                <w:rFonts w:ascii="Times New Roman" w:hAnsi="Times New Roman" w:eastAsia="宋体" w:cs="Times New Roman"/>
                <w:sz w:val="31"/>
                <w:szCs w:val="31"/>
                <w:lang w:eastAsia="zh-CN"/>
              </w:rPr>
            </w:pPr>
            <w:r>
              <w:rPr>
                <w:rFonts w:hint="eastAsia" w:ascii="Times New Roman" w:hAnsi="Times New Roman" w:eastAsia="宋体" w:cs="Times New Roman"/>
                <w:sz w:val="31"/>
                <w:szCs w:val="31"/>
                <w:lang w:eastAsia="zh-CN"/>
              </w:rPr>
              <w:t>10</w:t>
            </w:r>
            <w:bookmarkStart w:id="0" w:name="_GoBack"/>
            <w:bookmarkEnd w:id="0"/>
          </w:p>
        </w:tc>
        <w:tc>
          <w:tcPr>
            <w:tcW w:w="1590" w:type="dxa"/>
            <w:vAlign w:val="center"/>
          </w:tcPr>
          <w:p w14:paraId="02B4BAEC">
            <w:pPr>
              <w:jc w:val="center"/>
              <w:rPr>
                <w:rFonts w:ascii="Times New Roman" w:hAnsi="Times New Roman"/>
              </w:rPr>
            </w:pPr>
          </w:p>
        </w:tc>
      </w:tr>
      <w:tr w14:paraId="19D8F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527" w:type="dxa"/>
            <w:vAlign w:val="center"/>
          </w:tcPr>
          <w:p w14:paraId="4D412346">
            <w:pPr>
              <w:jc w:val="center"/>
              <w:rPr>
                <w:rFonts w:hint="eastAsia" w:ascii="仿宋" w:hAnsi="仿宋" w:eastAsia="仿宋" w:cs="仿宋"/>
                <w:sz w:val="31"/>
                <w:szCs w:val="31"/>
                <w:lang w:eastAsia="zh-CN"/>
              </w:rPr>
            </w:pPr>
            <w:r>
              <w:rPr>
                <w:rFonts w:hint="eastAsia" w:ascii="仿宋" w:hAnsi="仿宋" w:eastAsia="仿宋" w:cs="仿宋"/>
                <w:sz w:val="31"/>
                <w:szCs w:val="31"/>
                <w:lang w:eastAsia="zh-CN"/>
              </w:rPr>
              <w:t>不分专业</w:t>
            </w:r>
          </w:p>
        </w:tc>
        <w:tc>
          <w:tcPr>
            <w:tcW w:w="1798" w:type="dxa"/>
            <w:vAlign w:val="center"/>
          </w:tcPr>
          <w:p w14:paraId="3588BB51">
            <w:pPr>
              <w:spacing w:line="419" w:lineRule="exact"/>
              <w:ind w:left="17"/>
              <w:jc w:val="center"/>
              <w:rPr>
                <w:rFonts w:ascii="Times New Roman" w:hAnsi="Times New Roman" w:eastAsia="仿宋" w:cs="仿宋"/>
                <w:sz w:val="31"/>
                <w:szCs w:val="31"/>
              </w:rPr>
            </w:pPr>
            <w:r>
              <w:rPr>
                <w:rFonts w:ascii="Times New Roman" w:hAnsi="Times New Roman" w:eastAsia="Times New Roman" w:cs="Times New Roman"/>
                <w:spacing w:val="3"/>
                <w:position w:val="2"/>
                <w:sz w:val="31"/>
                <w:szCs w:val="31"/>
              </w:rPr>
              <w:t>202</w:t>
            </w:r>
            <w:r>
              <w:rPr>
                <w:rFonts w:hint="eastAsia" w:ascii="Times New Roman" w:hAnsi="Times New Roman" w:eastAsia="宋体" w:cs="Times New Roman"/>
                <w:spacing w:val="3"/>
                <w:position w:val="2"/>
                <w:sz w:val="31"/>
                <w:szCs w:val="31"/>
                <w:lang w:val="en-US" w:eastAsia="zh-CN"/>
              </w:rPr>
              <w:t>4</w:t>
            </w:r>
            <w:r>
              <w:rPr>
                <w:rFonts w:ascii="Times New Roman" w:hAnsi="Times New Roman" w:eastAsia="仿宋" w:cs="仿宋"/>
                <w:spacing w:val="3"/>
                <w:position w:val="2"/>
                <w:sz w:val="31"/>
                <w:szCs w:val="31"/>
              </w:rPr>
              <w:t>级及以上</w:t>
            </w:r>
          </w:p>
        </w:tc>
        <w:tc>
          <w:tcPr>
            <w:tcW w:w="1230" w:type="dxa"/>
            <w:vAlign w:val="center"/>
          </w:tcPr>
          <w:p w14:paraId="6CF7B9A3">
            <w:pPr>
              <w:jc w:val="center"/>
              <w:rPr>
                <w:rFonts w:ascii="Times New Roman" w:hAnsi="Times New Roman" w:eastAsia="宋体" w:cs="Times New Roman"/>
                <w:sz w:val="31"/>
                <w:szCs w:val="31"/>
                <w:lang w:eastAsia="zh-CN"/>
              </w:rPr>
            </w:pPr>
            <w:r>
              <w:rPr>
                <w:rFonts w:ascii="Times New Roman" w:hAnsi="Times New Roman" w:eastAsia="宋体" w:cs="Times New Roman"/>
                <w:sz w:val="31"/>
                <w:szCs w:val="31"/>
                <w:lang w:eastAsia="zh-CN"/>
              </w:rPr>
              <w:t>2</w:t>
            </w:r>
          </w:p>
        </w:tc>
        <w:tc>
          <w:tcPr>
            <w:tcW w:w="1590" w:type="dxa"/>
            <w:vAlign w:val="center"/>
          </w:tcPr>
          <w:p w14:paraId="4A811D0A">
            <w:pPr>
              <w:jc w:val="center"/>
              <w:rPr>
                <w:rFonts w:ascii="Times New Roman" w:hAnsi="Times New Roman"/>
              </w:rPr>
            </w:pPr>
          </w:p>
        </w:tc>
      </w:tr>
    </w:tbl>
    <w:p w14:paraId="56EFC838">
      <w:pPr>
        <w:jc w:val="both"/>
        <w:rPr>
          <w:rFonts w:ascii="Times New Roman" w:hAnsi="Times New Roman"/>
        </w:rPr>
      </w:pPr>
    </w:p>
    <w:p w14:paraId="749C68CF">
      <w:pPr>
        <w:jc w:val="both"/>
        <w:rPr>
          <w:rFonts w:ascii="Times New Roman" w:hAnsi="Times New Roman"/>
        </w:rPr>
      </w:pPr>
    </w:p>
    <w:sectPr>
      <w:footerReference r:id="rId3" w:type="default"/>
      <w:pgSz w:w="11906" w:h="16839"/>
      <w:pgMar w:top="1440" w:right="1800" w:bottom="1440" w:left="1800" w:header="0" w:footer="93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777496-3F8A-48E2-A086-6EFF30723A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0CFF0CF-5B5A-4BFE-B556-6CF246481DD7}"/>
  </w:font>
  <w:font w:name="仿宋">
    <w:panose1 w:val="02010609060101010101"/>
    <w:charset w:val="86"/>
    <w:family w:val="modern"/>
    <w:pitch w:val="default"/>
    <w:sig w:usb0="800002BF" w:usb1="38CF7CFA" w:usb2="00000016" w:usb3="00000000" w:csb0="00040001" w:csb1="00000000"/>
    <w:embedRegular r:id="rId3" w:fontKey="{154AB995-9D79-405A-97CF-C6A8312AAE69}"/>
  </w:font>
  <w:font w:name="方正公文小标宋">
    <w:panose1 w:val="02000500000000000000"/>
    <w:charset w:val="86"/>
    <w:family w:val="auto"/>
    <w:pitch w:val="default"/>
    <w:sig w:usb0="A00002BF" w:usb1="38CF7CFA" w:usb2="00000016" w:usb3="00000000" w:csb0="00040001" w:csb1="00000000"/>
    <w:embedRegular r:id="rId4" w:fontKey="{C7ADA370-B3BF-4C8C-B455-40F0948D2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0A30">
    <w:pPr>
      <w:spacing w:line="265" w:lineRule="exact"/>
      <w:ind w:left="4411"/>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F9401"/>
    <w:multiLevelType w:val="singleLevel"/>
    <w:tmpl w:val="F15F9401"/>
    <w:lvl w:ilvl="0" w:tentative="0">
      <w:start w:val="5"/>
      <w:numFmt w:val="chineseCounting"/>
      <w:suff w:val="nothing"/>
      <w:lvlText w:val="%1、"/>
      <w:lvlJc w:val="left"/>
      <w:rPr>
        <w:rFonts w:hint="eastAsia"/>
      </w:rPr>
    </w:lvl>
  </w:abstractNum>
  <w:abstractNum w:abstractNumId="1">
    <w:nsid w:val="60B0D757"/>
    <w:multiLevelType w:val="singleLevel"/>
    <w:tmpl w:val="60B0D757"/>
    <w:lvl w:ilvl="0" w:tentative="0">
      <w:start w:val="1"/>
      <w:numFmt w:val="decimal"/>
      <w:suff w:val="space"/>
      <w:lvlText w:val="%1."/>
      <w:lvlJc w:val="left"/>
    </w:lvl>
  </w:abstractNum>
  <w:abstractNum w:abstractNumId="2">
    <w:nsid w:val="75E04A0C"/>
    <w:multiLevelType w:val="singleLevel"/>
    <w:tmpl w:val="75E04A0C"/>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CC4E03"/>
    <w:rsid w:val="000075E8"/>
    <w:rsid w:val="00045BA4"/>
    <w:rsid w:val="00264538"/>
    <w:rsid w:val="00366144"/>
    <w:rsid w:val="00BF26CD"/>
    <w:rsid w:val="00C20C2E"/>
    <w:rsid w:val="02362DE5"/>
    <w:rsid w:val="12330E45"/>
    <w:rsid w:val="1713439D"/>
    <w:rsid w:val="17F34A22"/>
    <w:rsid w:val="2C221EAA"/>
    <w:rsid w:val="2F4058CC"/>
    <w:rsid w:val="38EA6B94"/>
    <w:rsid w:val="533249AC"/>
    <w:rsid w:val="688349CA"/>
    <w:rsid w:val="72CC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细则正文"/>
    <w:basedOn w:val="1"/>
    <w:qFormat/>
    <w:uiPriority w:val="0"/>
    <w:pPr>
      <w:ind w:firstLine="640" w:firstLineChars="200"/>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1030</Words>
  <Characters>1080</Characters>
  <Lines>8</Lines>
  <Paragraphs>2</Paragraphs>
  <TotalTime>7</TotalTime>
  <ScaleCrop>false</ScaleCrop>
  <LinksUpToDate>false</LinksUpToDate>
  <CharactersWithSpaces>1090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2026-03-30T04:46:00Z</dcterms:created>
  <dc:creator>diva1409142137</dc:creator>
  <cp:lastModifiedBy>胥力文</cp:lastModifiedBy>
  <cp:lastPrinted>2025-03-10T05:46:00Z</cp:lastPrinted>
  <dcterms:modified xsi:type="dcterms:W3CDTF">2026-04-08T02:10:39Z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01A381C2D54E4C1B8752AF5AF1B8EAEA_13</vt:lpwstr>
  </property>
  <property fmtid="{D5CDD505-2E9C-101B-9397-08002B2CF9AE}" pid="4" name="KSOTemplateDocerSaveRecord">
    <vt:lpwstr>eyJoZGlkIjoiY2ZiZWEzNDFhYWJhYWY1ODdkMjkzN2YzYmRjMDU0YzYiLCJ1c2VySWQiOiI0MDk4MTE5MTAifQ==</vt:lpwstr>
  </property>
</Properties>
</file>